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7BDE" w14:textId="5E2927C4" w:rsidR="002A46EF" w:rsidRPr="003F5273" w:rsidRDefault="00B57581">
      <w:pPr>
        <w:pStyle w:val="1"/>
        <w:rPr>
          <w:rFonts w:asciiTheme="majorHAnsi" w:eastAsiaTheme="majorHAnsi" w:hAnsiTheme="majorHAnsi"/>
          <w:sz w:val="36"/>
          <w:szCs w:val="36"/>
        </w:rPr>
      </w:pPr>
      <w:r w:rsidRPr="003F5273">
        <w:rPr>
          <w:rFonts w:asciiTheme="majorHAnsi" w:eastAsiaTheme="majorHAnsi" w:hAnsiTheme="majorHAnsi" w:cs="Calibri" w:hint="eastAsia"/>
          <w:color w:val="242424"/>
          <w:sz w:val="36"/>
          <w:szCs w:val="36"/>
          <w:shd w:val="clear" w:color="auto" w:fill="FFFFFF"/>
        </w:rPr>
        <w:t>BW/BI-</w:t>
      </w:r>
      <w:r w:rsidR="00DC7F8C">
        <w:rPr>
          <w:rFonts w:asciiTheme="majorHAnsi" w:eastAsiaTheme="majorHAnsi" w:hAnsiTheme="majorHAnsi" w:cs="Calibri" w:hint="eastAsia"/>
          <w:color w:val="242424"/>
          <w:sz w:val="36"/>
          <w:szCs w:val="36"/>
          <w:shd w:val="clear" w:color="auto" w:fill="FFFFFF"/>
        </w:rPr>
        <w:t>세트 해체 전후 지표 설명</w:t>
      </w:r>
    </w:p>
    <w:p w14:paraId="1DE0BEF4" w14:textId="77777777" w:rsidR="008C4E56" w:rsidRPr="003F5273" w:rsidRDefault="00F52782" w:rsidP="00DA45E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F5273">
        <w:rPr>
          <w:rFonts w:asciiTheme="majorHAnsi" w:eastAsiaTheme="majorHAnsi" w:hAnsiTheme="majorHAnsi" w:hint="eastAsia"/>
          <w:b/>
          <w:bCs/>
          <w:sz w:val="22"/>
          <w:szCs w:val="22"/>
        </w:rPr>
        <w:t>T-Code/기능/메뉴</w:t>
      </w:r>
      <w:r w:rsidR="008C4E56" w:rsidRPr="003F527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52782" w:rsidRPr="003F5273" w14:paraId="17C62751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20A5F2C" w14:textId="77777777" w:rsidR="00F52782" w:rsidRPr="003F5273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F527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2F1EE3A" w14:textId="77777777" w:rsidR="00F52782" w:rsidRPr="003F5273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F527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3F527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3F527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64D1FB4" w14:textId="77777777" w:rsidR="00F52782" w:rsidRPr="003F5273" w:rsidRDefault="00F52782" w:rsidP="00F52782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F527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2742" w:rsidRPr="003F5273" w14:paraId="101E0200" w14:textId="77777777" w:rsidTr="002D0B24">
        <w:trPr>
          <w:trHeight w:val="340"/>
        </w:trPr>
        <w:tc>
          <w:tcPr>
            <w:tcW w:w="1536" w:type="dxa"/>
            <w:noWrap/>
          </w:tcPr>
          <w:p w14:paraId="27DF099F" w14:textId="77777777" w:rsidR="003E2742" w:rsidRPr="003F5273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F527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3280DF45" w14:textId="2273E45C" w:rsidR="003E2742" w:rsidRPr="003F5273" w:rsidRDefault="00DC7F8C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150230FC" w14:textId="5D044FAF" w:rsidR="003E2742" w:rsidRPr="003F5273" w:rsidRDefault="00DC7F8C" w:rsidP="003E2742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cs="Calibri" w:hint="eastAsia"/>
                <w:color w:val="242424"/>
                <w:sz w:val="22"/>
                <w:szCs w:val="22"/>
                <w:shd w:val="clear" w:color="auto" w:fill="FFFFFF"/>
              </w:rPr>
              <w:t>Analysis Office</w:t>
            </w:r>
          </w:p>
        </w:tc>
      </w:tr>
    </w:tbl>
    <w:p w14:paraId="43CB4C2B" w14:textId="27625682" w:rsidR="00F52782" w:rsidRPr="003F5273" w:rsidRDefault="00F52782" w:rsidP="00617A1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F5273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3F5273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6935E2F6" w14:textId="6686B5A1" w:rsidR="00F52782" w:rsidRPr="003F5273" w:rsidRDefault="00F52782" w:rsidP="00617A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3F5273">
        <w:rPr>
          <w:rFonts w:asciiTheme="majorHAnsi" w:eastAsiaTheme="majorHAnsi" w:hAnsiTheme="majorHAnsi"/>
          <w:sz w:val="22"/>
          <w:szCs w:val="22"/>
        </w:rPr>
        <w:t>실행자 :</w:t>
      </w:r>
      <w:proofErr w:type="gramEnd"/>
      <w:r w:rsidRPr="003F5273">
        <w:rPr>
          <w:rFonts w:asciiTheme="majorHAnsi" w:eastAsiaTheme="majorHAnsi" w:hAnsiTheme="majorHAnsi"/>
          <w:sz w:val="22"/>
          <w:szCs w:val="22"/>
        </w:rPr>
        <w:t> Analysis Office</w:t>
      </w:r>
      <w:r w:rsidRPr="003F5273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3F5273">
        <w:rPr>
          <w:rFonts w:asciiTheme="majorHAnsi" w:eastAsiaTheme="majorHAnsi" w:hAnsiTheme="majorHAnsi"/>
          <w:sz w:val="22"/>
          <w:szCs w:val="22"/>
        </w:rPr>
        <w:t>BW Report</w:t>
      </w:r>
      <w:r w:rsidR="00DC7F8C">
        <w:rPr>
          <w:rFonts w:asciiTheme="majorHAnsi" w:eastAsiaTheme="majorHAnsi" w:hAnsiTheme="majorHAnsi" w:hint="eastAsia"/>
          <w:sz w:val="22"/>
          <w:szCs w:val="22"/>
        </w:rPr>
        <w:t>를</w:t>
      </w:r>
      <w:r w:rsidRPr="003F5273">
        <w:rPr>
          <w:rFonts w:asciiTheme="majorHAnsi" w:eastAsiaTheme="majorHAnsi" w:hAnsiTheme="majorHAnsi"/>
          <w:sz w:val="22"/>
          <w:szCs w:val="22"/>
        </w:rPr>
        <w:t xml:space="preserve"> </w:t>
      </w:r>
      <w:r w:rsidRPr="003F5273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5350F34C" w14:textId="14A7362F" w:rsidR="00F52782" w:rsidRPr="003F5273" w:rsidRDefault="00F52782" w:rsidP="00617A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F527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3F5273">
        <w:rPr>
          <w:rFonts w:asciiTheme="majorHAnsi" w:eastAsiaTheme="majorHAnsi" w:hAnsiTheme="majorHAnsi"/>
          <w:sz w:val="22"/>
          <w:szCs w:val="22"/>
        </w:rPr>
        <w:t xml:space="preserve"> 상황: </w:t>
      </w:r>
      <w:proofErr w:type="spellStart"/>
      <w:r w:rsidR="00DC7F8C">
        <w:rPr>
          <w:rFonts w:asciiTheme="majorHAnsi" w:eastAsiaTheme="majorHAnsi" w:hAnsiTheme="majorHAnsi" w:hint="eastAsia"/>
          <w:sz w:val="22"/>
          <w:szCs w:val="22"/>
        </w:rPr>
        <w:t>레포트</w:t>
      </w:r>
      <w:proofErr w:type="spellEnd"/>
      <w:r w:rsidR="00DC7F8C">
        <w:rPr>
          <w:rFonts w:asciiTheme="majorHAnsi" w:eastAsiaTheme="majorHAnsi" w:hAnsiTheme="majorHAnsi" w:hint="eastAsia"/>
          <w:sz w:val="22"/>
          <w:szCs w:val="22"/>
        </w:rPr>
        <w:t xml:space="preserve"> 내 해체 </w:t>
      </w:r>
      <w:proofErr w:type="gramStart"/>
      <w:r w:rsidR="00DC7F8C">
        <w:rPr>
          <w:rFonts w:asciiTheme="majorHAnsi" w:eastAsiaTheme="majorHAnsi" w:hAnsiTheme="majorHAnsi" w:hint="eastAsia"/>
          <w:sz w:val="22"/>
          <w:szCs w:val="22"/>
        </w:rPr>
        <w:t>전 /</w:t>
      </w:r>
      <w:proofErr w:type="gramEnd"/>
      <w:r w:rsidR="00DC7F8C">
        <w:rPr>
          <w:rFonts w:asciiTheme="majorHAnsi" w:eastAsiaTheme="majorHAnsi" w:hAnsiTheme="majorHAnsi" w:hint="eastAsia"/>
          <w:sz w:val="22"/>
          <w:szCs w:val="22"/>
        </w:rPr>
        <w:t xml:space="preserve"> 후로 지표가 나뉘어져 있는 경우</w:t>
      </w:r>
    </w:p>
    <w:p w14:paraId="63929515" w14:textId="31134495" w:rsidR="00F52782" w:rsidRPr="003F5273" w:rsidRDefault="00F52782" w:rsidP="00617A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F527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3F5273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096E24BE" w14:textId="62CA1CF9" w:rsidR="00F52782" w:rsidRPr="003F5273" w:rsidRDefault="00DC7F8C" w:rsidP="00617A1A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해체 전, 해체 후 차이가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뭔가요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>?</w:t>
      </w:r>
    </w:p>
    <w:p w14:paraId="7F6D3982" w14:textId="026B372B" w:rsidR="00365DDB" w:rsidRPr="003F5273" w:rsidRDefault="00DC7F8C" w:rsidP="00DC7F8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세트 해체 기준이 어떻게 되나요?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2A7A36DD" w14:textId="1D5E49C5" w:rsidR="003E2742" w:rsidRPr="003F5273" w:rsidRDefault="00DC7F8C" w:rsidP="00617A1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세트 해체의 목적</w:t>
      </w:r>
    </w:p>
    <w:p w14:paraId="2D977981" w14:textId="5BE7D575" w:rsidR="003E2742" w:rsidRDefault="00DC7F8C" w:rsidP="00617A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해체 전의 경우 실제 판매된 자재 기준으로 조회되는 실적입니다. 해체 후의 경우 이 중 세트 자재 실적에 대해서는 특정 조건을 만족하면, 개별 구성품 자재 레벨로 배부하여 보여드리는 건입니다.</w:t>
      </w:r>
    </w:p>
    <w:p w14:paraId="207D09C5" w14:textId="5778FD21" w:rsidR="00DC7F8C" w:rsidRDefault="00DC7F8C" w:rsidP="00DC7F8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세트에는 여러 자재가 포함되어 있지만, 실제 판매 수량은 세트 자재 코드 1개로만 인식되기 때문에, 개별 구성품 자재 레벨에서 판매 실적 트렌드를 분석을 하기 위해 </w:t>
      </w:r>
      <w:r w:rsidR="008973CE">
        <w:rPr>
          <w:rFonts w:asciiTheme="majorHAnsi" w:eastAsiaTheme="majorHAnsi" w:hAnsiTheme="majorHAnsi" w:hint="eastAsia"/>
          <w:sz w:val="22"/>
          <w:szCs w:val="22"/>
        </w:rPr>
        <w:t>해체 후 지표를 운용하고 있습니다.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B154BF">
        <w:rPr>
          <w:rFonts w:asciiTheme="majorHAnsi" w:eastAsiaTheme="majorHAnsi" w:hAnsiTheme="majorHAnsi"/>
          <w:sz w:val="22"/>
          <w:szCs w:val="22"/>
        </w:rPr>
        <w:br/>
      </w:r>
    </w:p>
    <w:p w14:paraId="73E796ED" w14:textId="38042B6E" w:rsidR="00DE4EBC" w:rsidRDefault="008973CE" w:rsidP="008973C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세트 해체 기준</w:t>
      </w:r>
    </w:p>
    <w:p w14:paraId="7100AA77" w14:textId="2BB4FAA5" w:rsidR="008973CE" w:rsidRDefault="008973CE" w:rsidP="008973C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해체 여부 기준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세트 자재가 SAP 자재 마스터 내 세트 상품으로 등록되어 있어야 합니다. SET 해체 여부가 체크되어 있고, 단품 세트가 아닌 경우 해체 대상입니다. (연관 T코드: MM03)</w:t>
      </w:r>
    </w:p>
    <w:p w14:paraId="241EBCE6" w14:textId="310F69F4" w:rsidR="008973CE" w:rsidRDefault="008973CE" w:rsidP="008973C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수량 해체 기준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세트 자재가 어떤 구성품을 가지고 있는 지에 대한 영업 BOM이 등록되어 있어야 합니다. 등록된 구성품 중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본품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자재 기준으로 실적이 해체됩니다. (연관 T코드: CS03)</w:t>
      </w:r>
    </w:p>
    <w:p w14:paraId="25F3CECB" w14:textId="7A9530C6" w:rsidR="00547828" w:rsidRDefault="008973CE" w:rsidP="00BD4ED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금액 해체 기준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세트 자재 및 각 구성품에 대해 유효한 가격이 등록되어 있어야 합니다. (연관 T 코드: VK13)</w:t>
      </w:r>
    </w:p>
    <w:p w14:paraId="487D17C9" w14:textId="5793BBF2" w:rsidR="00547828" w:rsidRDefault="00547828">
      <w:pPr>
        <w:rPr>
          <w:rFonts w:asciiTheme="majorHAnsi" w:eastAsiaTheme="majorHAnsi" w:hAnsiTheme="majorHAnsi"/>
          <w:sz w:val="22"/>
          <w:szCs w:val="22"/>
        </w:rPr>
      </w:pPr>
    </w:p>
    <w:p w14:paraId="420BC736" w14:textId="51BA16EF" w:rsidR="00BD4EDA" w:rsidRDefault="00BD4EDA" w:rsidP="00BD4ED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>세트 해체 예시</w:t>
      </w:r>
    </w:p>
    <w:p w14:paraId="34418B48" w14:textId="54602C6C" w:rsidR="00BD4EDA" w:rsidRDefault="00BD4EDA" w:rsidP="00BD4EDA">
      <w:pPr>
        <w:pStyle w:val="a3"/>
        <w:ind w:left="425"/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아래는 국내 아모레퍼시픽의 111380687 AP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보태니컬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에센셜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세트 예시로, 해체 전 실적으로는 세트 자재 코드 기준으로 조회되며, 해체 후로는 111380634, 1110380635 자재 실적으로 조회되고 있습니다. 해체 전/후 비교 시 수량은 증가하였으나, 전체 금액은 일치합니다.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BD4ED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8951D0E" wp14:editId="714253F4">
            <wp:extent cx="5943600" cy="647065"/>
            <wp:effectExtent l="0" t="0" r="0" b="635"/>
            <wp:docPr id="13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6C73B" w14:textId="74A8C376" w:rsidR="00BD4EDA" w:rsidRDefault="00BD4EDA" w:rsidP="00BD4ED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해체 여부 기준 점검 - 1111380687 AP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보태니컬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에션셀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 세트 자재에 대해 SAP 자재 마스터 내역 조회 시 세트 상품으로 정상 등록되어 있습니다.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BD4ED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DABD93D" wp14:editId="54B9DC5D">
            <wp:extent cx="5095655" cy="1579984"/>
            <wp:effectExtent l="19050" t="19050" r="10160" b="20320"/>
            <wp:docPr id="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655" cy="15799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66A5800" w14:textId="596DD970" w:rsidR="00BD4EDA" w:rsidRDefault="00BD4EDA" w:rsidP="00BD4ED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수량 해체 기준 점검 - </w:t>
      </w:r>
      <w:r w:rsidR="00547828" w:rsidRPr="00547828">
        <w:rPr>
          <w:rFonts w:asciiTheme="majorHAnsi" w:eastAsiaTheme="majorHAnsi" w:hAnsiTheme="majorHAnsi"/>
          <w:sz w:val="22"/>
          <w:szCs w:val="22"/>
        </w:rPr>
        <w:t xml:space="preserve">111380687 AP </w:t>
      </w:r>
      <w:proofErr w:type="spellStart"/>
      <w:r w:rsidR="00547828" w:rsidRPr="00547828">
        <w:rPr>
          <w:rFonts w:asciiTheme="majorHAnsi" w:eastAsiaTheme="majorHAnsi" w:hAnsiTheme="majorHAnsi"/>
          <w:sz w:val="22"/>
          <w:szCs w:val="22"/>
        </w:rPr>
        <w:t>보태니컬</w:t>
      </w:r>
      <w:proofErr w:type="spellEnd"/>
      <w:r w:rsidR="00547828" w:rsidRPr="00547828">
        <w:rPr>
          <w:rFonts w:asciiTheme="majorHAnsi" w:eastAsiaTheme="majorHAnsi" w:hAnsiTheme="majorHAnsi"/>
          <w:sz w:val="22"/>
          <w:szCs w:val="22"/>
        </w:rPr>
        <w:t xml:space="preserve"> </w:t>
      </w:r>
      <w:proofErr w:type="spellStart"/>
      <w:r w:rsidR="00547828" w:rsidRPr="00547828">
        <w:rPr>
          <w:rFonts w:asciiTheme="majorHAnsi" w:eastAsiaTheme="majorHAnsi" w:hAnsiTheme="majorHAnsi"/>
          <w:sz w:val="22"/>
          <w:szCs w:val="22"/>
        </w:rPr>
        <w:t>에센셜</w:t>
      </w:r>
      <w:proofErr w:type="spellEnd"/>
      <w:r w:rsidR="00547828" w:rsidRPr="00547828">
        <w:rPr>
          <w:rFonts w:asciiTheme="majorHAnsi" w:eastAsiaTheme="majorHAnsi" w:hAnsiTheme="majorHAnsi"/>
          <w:sz w:val="22"/>
          <w:szCs w:val="22"/>
        </w:rPr>
        <w:t xml:space="preserve"> 세트 자재의 국내 영업 BOM 내역 조회 시 2019.11.29 부터 유효한 구성품 4개 자재가 등록되어 있습니다. 세트 해체는 </w:t>
      </w:r>
      <w:proofErr w:type="spellStart"/>
      <w:r w:rsidR="00547828" w:rsidRPr="00547828">
        <w:rPr>
          <w:rFonts w:asciiTheme="majorHAnsi" w:eastAsiaTheme="majorHAnsi" w:hAnsiTheme="majorHAnsi"/>
          <w:sz w:val="22"/>
          <w:szCs w:val="22"/>
        </w:rPr>
        <w:t>본품</w:t>
      </w:r>
      <w:proofErr w:type="spellEnd"/>
      <w:r w:rsidR="00547828" w:rsidRPr="00547828">
        <w:rPr>
          <w:rFonts w:asciiTheme="majorHAnsi" w:eastAsiaTheme="majorHAnsi" w:hAnsiTheme="majorHAnsi"/>
          <w:sz w:val="22"/>
          <w:szCs w:val="22"/>
        </w:rPr>
        <w:t xml:space="preserve"> 자재에 대해서만 이루어지기 때문에 견본을 제외한 111380634, 111380635 자재만 세트 해체 대상이 됩니다. 구성품 수량이 1개씩으로 등록되어 있어 수량 해체가 아래와 같이 이루어집니다.</w:t>
      </w:r>
      <w:r w:rsidR="00547828">
        <w:rPr>
          <w:rFonts w:asciiTheme="majorHAnsi" w:eastAsiaTheme="majorHAnsi" w:hAnsiTheme="majorHAnsi"/>
          <w:sz w:val="22"/>
          <w:szCs w:val="22"/>
        </w:rPr>
        <w:br/>
      </w:r>
      <w:r w:rsidR="00547828" w:rsidRPr="0054782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883272E" wp14:editId="49DF81F4">
            <wp:extent cx="5943600" cy="1703705"/>
            <wp:effectExtent l="0" t="0" r="0" b="0"/>
            <wp:docPr id="173653255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325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828">
        <w:rPr>
          <w:rFonts w:asciiTheme="majorHAnsi" w:eastAsiaTheme="majorHAnsi" w:hAnsiTheme="majorHAnsi"/>
          <w:sz w:val="22"/>
          <w:szCs w:val="22"/>
        </w:rPr>
        <w:br/>
      </w:r>
      <w:r w:rsidR="00547828" w:rsidRPr="0054782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63B895C" wp14:editId="09E06EBD">
            <wp:extent cx="5943600" cy="874395"/>
            <wp:effectExtent l="0" t="0" r="0" b="1905"/>
            <wp:docPr id="15540211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211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0931" w14:textId="0A933028" w:rsidR="00547828" w:rsidRPr="00BD4EDA" w:rsidRDefault="00547828" w:rsidP="00BD4ED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금액 해체 기준 점검 - </w:t>
      </w:r>
      <w:r w:rsidRPr="00547828">
        <w:rPr>
          <w:rFonts w:asciiTheme="majorHAnsi" w:eastAsiaTheme="majorHAnsi" w:hAnsiTheme="majorHAnsi" w:hint="eastAsia"/>
          <w:sz w:val="22"/>
          <w:szCs w:val="22"/>
        </w:rPr>
        <w:t>구성품</w:t>
      </w:r>
      <w:r w:rsidRPr="00547828">
        <w:rPr>
          <w:rFonts w:asciiTheme="majorHAnsi" w:eastAsiaTheme="majorHAnsi" w:hAnsiTheme="majorHAnsi"/>
          <w:sz w:val="22"/>
          <w:szCs w:val="22"/>
        </w:rPr>
        <w:t xml:space="preserve"> 111380634, 111380635 자재의 국내 AP 가격 조회 시 2019.11.28부터 유효한 가격들이 등록되어 있습니다. 수량 및 내부 가격을 고려하여 구성품 가격 비율이 산출되며, 이를 세트 판매 금액에 곱하여 해체 후 매출 실적이 계산됩니다.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54782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BAB314B" wp14:editId="7B258B11">
            <wp:extent cx="5943600" cy="2861945"/>
            <wp:effectExtent l="0" t="0" r="0" b="0"/>
            <wp:docPr id="64452749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274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828" w:rsidRPr="00BD4ED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6CC5" w14:textId="77777777" w:rsidR="00F8141D" w:rsidRDefault="00F8141D" w:rsidP="008C4E56">
      <w:r>
        <w:separator/>
      </w:r>
    </w:p>
  </w:endnote>
  <w:endnote w:type="continuationSeparator" w:id="0">
    <w:p w14:paraId="04BCF8D7" w14:textId="77777777" w:rsidR="00F8141D" w:rsidRDefault="00F8141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2219" w14:textId="77777777" w:rsidR="00F8141D" w:rsidRDefault="00F8141D" w:rsidP="008C4E56">
      <w:r>
        <w:separator/>
      </w:r>
    </w:p>
  </w:footnote>
  <w:footnote w:type="continuationSeparator" w:id="0">
    <w:p w14:paraId="38092098" w14:textId="77777777" w:rsidR="00F8141D" w:rsidRDefault="00F8141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1E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FCC2B7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713581490">
    <w:abstractNumId w:val="2"/>
  </w:num>
  <w:num w:numId="2" w16cid:durableId="1259824724">
    <w:abstractNumId w:val="0"/>
  </w:num>
  <w:num w:numId="3" w16cid:durableId="97426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C016B"/>
    <w:rsid w:val="000C71D3"/>
    <w:rsid w:val="000F768B"/>
    <w:rsid w:val="00107041"/>
    <w:rsid w:val="001B48AA"/>
    <w:rsid w:val="00266A83"/>
    <w:rsid w:val="002A46EF"/>
    <w:rsid w:val="002B0A58"/>
    <w:rsid w:val="002D0B24"/>
    <w:rsid w:val="002E14CD"/>
    <w:rsid w:val="002F1444"/>
    <w:rsid w:val="00365DDB"/>
    <w:rsid w:val="003E2742"/>
    <w:rsid w:val="003F5273"/>
    <w:rsid w:val="00420095"/>
    <w:rsid w:val="00473D13"/>
    <w:rsid w:val="00483F9C"/>
    <w:rsid w:val="004E408E"/>
    <w:rsid w:val="004F0FB6"/>
    <w:rsid w:val="00547828"/>
    <w:rsid w:val="00593E82"/>
    <w:rsid w:val="005A5933"/>
    <w:rsid w:val="005D4181"/>
    <w:rsid w:val="00617A1A"/>
    <w:rsid w:val="006212A8"/>
    <w:rsid w:val="00664B33"/>
    <w:rsid w:val="00677B0B"/>
    <w:rsid w:val="006B606B"/>
    <w:rsid w:val="006F0A52"/>
    <w:rsid w:val="0071103D"/>
    <w:rsid w:val="0071191F"/>
    <w:rsid w:val="007A4856"/>
    <w:rsid w:val="007B76DE"/>
    <w:rsid w:val="00811E0C"/>
    <w:rsid w:val="00833CC0"/>
    <w:rsid w:val="00852BAF"/>
    <w:rsid w:val="008973CE"/>
    <w:rsid w:val="008C4E56"/>
    <w:rsid w:val="00921AAC"/>
    <w:rsid w:val="00970894"/>
    <w:rsid w:val="009A4135"/>
    <w:rsid w:val="009B5C90"/>
    <w:rsid w:val="00A50680"/>
    <w:rsid w:val="00A57C6A"/>
    <w:rsid w:val="00AC28F2"/>
    <w:rsid w:val="00B154BF"/>
    <w:rsid w:val="00B57581"/>
    <w:rsid w:val="00B619E5"/>
    <w:rsid w:val="00B71542"/>
    <w:rsid w:val="00BB27BC"/>
    <w:rsid w:val="00BD4EDA"/>
    <w:rsid w:val="00C05F74"/>
    <w:rsid w:val="00C34053"/>
    <w:rsid w:val="00C951C2"/>
    <w:rsid w:val="00CA5FA4"/>
    <w:rsid w:val="00CE7529"/>
    <w:rsid w:val="00D77DC8"/>
    <w:rsid w:val="00DA1E7E"/>
    <w:rsid w:val="00DA45ED"/>
    <w:rsid w:val="00DB66E4"/>
    <w:rsid w:val="00DC7F8C"/>
    <w:rsid w:val="00DE4EBC"/>
    <w:rsid w:val="00E3633A"/>
    <w:rsid w:val="00E54B22"/>
    <w:rsid w:val="00E57100"/>
    <w:rsid w:val="00E65B76"/>
    <w:rsid w:val="00E82663"/>
    <w:rsid w:val="00F41690"/>
    <w:rsid w:val="00F505FB"/>
    <w:rsid w:val="00F52782"/>
    <w:rsid w:val="00F8141D"/>
    <w:rsid w:val="00F93690"/>
    <w:rsid w:val="00FA6A38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4F093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6D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6B606B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5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F527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F76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34EDB-98BD-4B52-A175-FB41C9446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6CD77-CEC9-4CBD-A85B-A652EC21C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D4ABE-6C8A-457A-AB20-2785F075D43F}">
  <ds:schemaRefs>
    <ds:schemaRef ds:uri="73d30a35-0704-4254-aa04-fd795b275410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3</Pages>
  <Words>344</Words>
  <Characters>1075</Characters>
  <Application>Microsoft Office Word</Application>
  <DocSecurity>0</DocSecurity>
  <Lines>53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플랫폼기획팀/YOONHEON YANG</cp:lastModifiedBy>
  <cp:revision>2</cp:revision>
  <dcterms:created xsi:type="dcterms:W3CDTF">2026-04-01T01:53:00Z</dcterms:created>
  <dcterms:modified xsi:type="dcterms:W3CDTF">2026-04-01T01:53:00Z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