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EEB6" w14:textId="183E24E1" w:rsidR="002A46EF" w:rsidRPr="000E1ABE" w:rsidRDefault="0026445B" w:rsidP="00A25F02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0E1ABE">
        <w:rPr>
          <w:rFonts w:asciiTheme="majorHAnsi" w:eastAsiaTheme="majorHAnsi" w:hAnsiTheme="majorHAnsi"/>
          <w:sz w:val="44"/>
          <w:szCs w:val="44"/>
        </w:rPr>
        <w:t>BW</w:t>
      </w:r>
      <w:r w:rsidR="000E1ABE" w:rsidRPr="000E1ABE">
        <w:rPr>
          <w:rFonts w:asciiTheme="majorHAnsi" w:eastAsiaTheme="majorHAnsi" w:hAnsiTheme="majorHAnsi" w:hint="eastAsia"/>
          <w:sz w:val="44"/>
          <w:szCs w:val="44"/>
        </w:rPr>
        <w:t>/BI-</w:t>
      </w:r>
      <w:r w:rsidRPr="000E1ABE">
        <w:rPr>
          <w:rFonts w:asciiTheme="majorHAnsi" w:eastAsiaTheme="majorHAnsi" w:hAnsiTheme="majorHAnsi"/>
          <w:sz w:val="44"/>
          <w:szCs w:val="44"/>
        </w:rPr>
        <w:t xml:space="preserve"> </w:t>
      </w:r>
      <w:r w:rsidR="000E1ABE" w:rsidRPr="000E1ABE">
        <w:rPr>
          <w:rFonts w:asciiTheme="majorHAnsi" w:eastAsiaTheme="majorHAnsi" w:hAnsiTheme="majorHAnsi"/>
          <w:sz w:val="44"/>
          <w:szCs w:val="44"/>
        </w:rPr>
        <w:t>Frequently Used Sell Thru</w:t>
      </w:r>
      <w:r w:rsidR="000E1ABE" w:rsidRPr="000E1ABE">
        <w:rPr>
          <w:rFonts w:asciiTheme="majorHAnsi" w:eastAsiaTheme="majorHAnsi" w:hAnsiTheme="majorHAnsi"/>
          <w:sz w:val="44"/>
          <w:szCs w:val="44"/>
        </w:rPr>
        <w:t xml:space="preserve"> </w:t>
      </w:r>
      <w:r w:rsidR="000E1ABE" w:rsidRPr="000E1ABE">
        <w:rPr>
          <w:rFonts w:asciiTheme="majorHAnsi" w:eastAsiaTheme="majorHAnsi" w:hAnsiTheme="majorHAnsi"/>
          <w:sz w:val="44"/>
          <w:szCs w:val="44"/>
        </w:rPr>
        <w:t>Queries(Report) in BI</w:t>
      </w:r>
    </w:p>
    <w:p w14:paraId="65137F7A" w14:textId="77777777" w:rsidR="008C4E56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0E1AB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E1ABE" w:rsidRPr="000E1ABE" w14:paraId="734AEC0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80E5079" w14:textId="77777777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832140A" w14:textId="77777777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</w:t>
            </w:r>
            <w:proofErr w:type="gramStart"/>
            <w:r w:rsidRPr="000E1ABE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Func./</w:t>
            </w:r>
            <w:proofErr w:type="gramEnd"/>
            <w:r w:rsidRPr="000E1ABE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437948E" w14:textId="77777777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0E1ABE" w:rsidRPr="000E1ABE" w14:paraId="22BF53F1" w14:textId="77777777" w:rsidTr="00D94AB3">
        <w:trPr>
          <w:trHeight w:val="340"/>
        </w:trPr>
        <w:tc>
          <w:tcPr>
            <w:tcW w:w="1536" w:type="dxa"/>
            <w:noWrap/>
          </w:tcPr>
          <w:p w14:paraId="1C4D4CE4" w14:textId="77777777" w:rsidR="008C4E56" w:rsidRPr="000E1ABE" w:rsidRDefault="00D94AB3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0E1ABE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5C8B8EFC" w14:textId="77777777" w:rsidR="008C4E56" w:rsidRPr="000E1ABE" w:rsidRDefault="00D94AB3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70F93050" w14:textId="77777777" w:rsidR="008C4E56" w:rsidRPr="000E1ABE" w:rsidRDefault="00D94AB3" w:rsidP="00A25F02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  <w:tr w:rsidR="000E1ABE" w:rsidRPr="000E1ABE" w14:paraId="7102D4B1" w14:textId="77777777" w:rsidTr="008C4E56">
        <w:trPr>
          <w:trHeight w:val="340"/>
        </w:trPr>
        <w:tc>
          <w:tcPr>
            <w:tcW w:w="1536" w:type="dxa"/>
            <w:noWrap/>
          </w:tcPr>
          <w:p w14:paraId="2104072A" w14:textId="77777777" w:rsidR="008C4E56" w:rsidRPr="000E1ABE" w:rsidRDefault="008C4E56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2939C18" w14:textId="77777777" w:rsidR="008C4E56" w:rsidRPr="000E1ABE" w:rsidRDefault="008C4E56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3D80348" w14:textId="77777777" w:rsidR="008C4E56" w:rsidRPr="000E1ABE" w:rsidRDefault="008C4E56" w:rsidP="00A25F02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0E1ABE" w:rsidRPr="000E1ABE" w14:paraId="13F28B57" w14:textId="77777777" w:rsidTr="008C4E56">
        <w:trPr>
          <w:trHeight w:val="340"/>
        </w:trPr>
        <w:tc>
          <w:tcPr>
            <w:tcW w:w="1536" w:type="dxa"/>
            <w:noWrap/>
          </w:tcPr>
          <w:p w14:paraId="14A68DF4" w14:textId="77777777" w:rsidR="00B619E5" w:rsidRPr="000E1ABE" w:rsidRDefault="00B619E5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4A082A9" w14:textId="77777777" w:rsidR="00B619E5" w:rsidRPr="000E1ABE" w:rsidRDefault="00B619E5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CC17000" w14:textId="77777777" w:rsidR="00B619E5" w:rsidRPr="000E1ABE" w:rsidRDefault="00B619E5" w:rsidP="00A25F02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0E1ABE" w:rsidRPr="000E1ABE" w14:paraId="51BD2B9B" w14:textId="77777777" w:rsidTr="008C4E56">
        <w:trPr>
          <w:trHeight w:val="340"/>
        </w:trPr>
        <w:tc>
          <w:tcPr>
            <w:tcW w:w="1536" w:type="dxa"/>
            <w:noWrap/>
          </w:tcPr>
          <w:p w14:paraId="5AD84C31" w14:textId="77777777" w:rsidR="00B619E5" w:rsidRPr="000E1ABE" w:rsidRDefault="00B619E5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6EFC77F" w14:textId="77777777" w:rsidR="00B619E5" w:rsidRPr="000E1ABE" w:rsidRDefault="00B619E5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7C528DB" w14:textId="77777777" w:rsidR="00B619E5" w:rsidRPr="000E1ABE" w:rsidRDefault="00B619E5" w:rsidP="00A25F02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613EAF2D" w14:textId="168EEABC" w:rsidR="0001201D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3CD33155" w14:textId="313FF599" w:rsidR="0001201D" w:rsidRPr="000E1ABE" w:rsidRDefault="00616366" w:rsidP="00A25F02">
      <w:pPr>
        <w:pStyle w:val="a7"/>
        <w:numPr>
          <w:ilvl w:val="1"/>
          <w:numId w:val="1"/>
        </w:numPr>
        <w:spacing w:line="300" w:lineRule="atLeast"/>
        <w:ind w:leftChars="0"/>
        <w:rPr>
          <w:rFonts w:asciiTheme="majorHAnsi" w:eastAsiaTheme="majorHAnsi" w:hAnsiTheme="majorHAnsi" w:cs="Segoe U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>: </w:t>
      </w:r>
      <w:r w:rsidR="00AB40C2" w:rsidRPr="000E1ABE">
        <w:rPr>
          <w:rFonts w:asciiTheme="majorHAnsi" w:eastAsiaTheme="majorHAnsi" w:hAnsiTheme="majorHAnsi" w:cs="Segoe UI"/>
          <w:sz w:val="22"/>
          <w:szCs w:val="22"/>
        </w:rPr>
        <w:t>Users accessing BW reports through Analysis Office</w:t>
      </w:r>
    </w:p>
    <w:p w14:paraId="0D185782" w14:textId="3F0840CA" w:rsidR="0001201D" w:rsidRPr="000E1ABE" w:rsidRDefault="00616366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 xml:space="preserve">: </w:t>
      </w:r>
      <w:r w:rsidR="00AB40C2" w:rsidRPr="000E1ABE">
        <w:rPr>
          <w:rFonts w:asciiTheme="majorHAnsi" w:eastAsiaTheme="majorHAnsi" w:hAnsiTheme="majorHAnsi"/>
          <w:sz w:val="22"/>
          <w:szCs w:val="22"/>
        </w:rPr>
        <w:t xml:space="preserve">When viewing a </w:t>
      </w:r>
      <w:r w:rsidR="001932FA" w:rsidRPr="000E1ABE">
        <w:rPr>
          <w:rFonts w:asciiTheme="majorHAnsi" w:eastAsiaTheme="majorHAnsi" w:hAnsiTheme="majorHAnsi"/>
          <w:sz w:val="22"/>
          <w:szCs w:val="22"/>
        </w:rPr>
        <w:t>Sell Thru</w:t>
      </w:r>
      <w:r w:rsidR="00AB40C2" w:rsidRPr="000E1ABE">
        <w:rPr>
          <w:rFonts w:asciiTheme="majorHAnsi" w:eastAsiaTheme="majorHAnsi" w:hAnsiTheme="majorHAnsi"/>
          <w:sz w:val="22"/>
          <w:szCs w:val="22"/>
        </w:rPr>
        <w:t xml:space="preserve"> BW report</w:t>
      </w:r>
    </w:p>
    <w:p w14:paraId="79E1D098" w14:textId="342DE9BA" w:rsidR="0001201D" w:rsidRPr="000E1ABE" w:rsidRDefault="00616366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>:</w:t>
      </w:r>
    </w:p>
    <w:p w14:paraId="670C442A" w14:textId="36078F7E" w:rsidR="0001201D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>What are the main BW queries used for customer sales?</w:t>
      </w:r>
    </w:p>
    <w:p w14:paraId="5C9FDD4B" w14:textId="5CCD1042" w:rsidR="0001201D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>What BW queries can be used to view customer sales?</w:t>
      </w:r>
    </w:p>
    <w:p w14:paraId="7BF95E82" w14:textId="05E68A3D" w:rsidR="0001201D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>What BW queries are available for viewing customer sales?</w:t>
      </w:r>
    </w:p>
    <w:p w14:paraId="28ABA062" w14:textId="5BA1323B" w:rsidR="00D94AB3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0E1ABE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0E1AB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0E1ABE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1932FA" w:rsidRPr="000E1ABE">
        <w:rPr>
          <w:rFonts w:asciiTheme="majorHAnsi" w:eastAsiaTheme="majorHAnsi" w:hAnsiTheme="majorHAnsi"/>
          <w:sz w:val="22"/>
          <w:szCs w:val="22"/>
        </w:rPr>
        <w:t>Sell Thru</w:t>
      </w:r>
      <w:r w:rsidRPr="000E1ABE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5B348C84" w14:textId="1372B67C" w:rsidR="00D94AB3" w:rsidRPr="000E1ABE" w:rsidRDefault="001932FA" w:rsidP="00A25F02">
      <w:pPr>
        <w:pStyle w:val="3"/>
        <w:keepNext w:val="0"/>
        <w:numPr>
          <w:ilvl w:val="1"/>
          <w:numId w:val="1"/>
        </w:numPr>
        <w:ind w:leftChars="0" w:firstLineChars="0"/>
        <w:rPr>
          <w:rFonts w:eastAsiaTheme="majorHAnsi" w:cs="Segoe UI"/>
          <w:sz w:val="22"/>
          <w:szCs w:val="22"/>
        </w:rPr>
      </w:pPr>
      <w:r w:rsidRPr="000E1ABE">
        <w:rPr>
          <w:rFonts w:eastAsiaTheme="majorHAnsi" w:cs="Segoe UI"/>
          <w:sz w:val="22"/>
          <w:szCs w:val="22"/>
          <w:shd w:val="clear" w:color="auto" w:fill="FFFFFF"/>
        </w:rPr>
        <w:t>S_ZSD_702_Q0013</w:t>
      </w:r>
      <w:r w:rsidR="0026445B" w:rsidRPr="000E1ABE">
        <w:rPr>
          <w:rFonts w:eastAsiaTheme="majorHAnsi" w:cs="Segoe UI"/>
          <w:sz w:val="22"/>
          <w:szCs w:val="22"/>
          <w:shd w:val="clear" w:color="auto" w:fill="FFFFFF"/>
        </w:rPr>
        <w:t xml:space="preserve"> </w:t>
      </w:r>
      <w:proofErr w:type="gramStart"/>
      <w:r w:rsidR="0026445B" w:rsidRPr="000E1ABE">
        <w:rPr>
          <w:rFonts w:eastAsiaTheme="majorHAnsi" w:cs="Segoe UI"/>
          <w:sz w:val="22"/>
          <w:szCs w:val="22"/>
          <w:shd w:val="clear" w:color="auto" w:fill="FFFFFF"/>
        </w:rPr>
        <w:t xml:space="preserve">( </w:t>
      </w:r>
      <w:r w:rsidRPr="000E1ABE">
        <w:rPr>
          <w:rFonts w:eastAsiaTheme="majorHAnsi" w:cs="Segoe UI"/>
          <w:sz w:val="22"/>
          <w:szCs w:val="22"/>
        </w:rPr>
        <w:t>[</w:t>
      </w:r>
      <w:proofErr w:type="gramEnd"/>
      <w:r w:rsidRPr="000E1ABE">
        <w:rPr>
          <w:rFonts w:eastAsiaTheme="majorHAnsi" w:cs="Segoe UI"/>
          <w:sz w:val="22"/>
          <w:szCs w:val="22"/>
        </w:rPr>
        <w:t xml:space="preserve">Std] POS Receipt-Based Sales Performance </w:t>
      </w:r>
      <w:proofErr w:type="gramStart"/>
      <w:r w:rsidRPr="000E1ABE">
        <w:rPr>
          <w:rFonts w:eastAsiaTheme="majorHAnsi" w:cs="Segoe UI"/>
          <w:sz w:val="22"/>
          <w:szCs w:val="22"/>
        </w:rPr>
        <w:t>Analysis</w:t>
      </w:r>
      <w:r w:rsidR="0026445B" w:rsidRPr="000E1ABE">
        <w:rPr>
          <w:rFonts w:eastAsiaTheme="majorHAnsi" w:cs="Segoe UI" w:hint="eastAsia"/>
          <w:sz w:val="22"/>
          <w:szCs w:val="22"/>
          <w:shd w:val="clear" w:color="auto" w:fill="FFFFFF"/>
        </w:rPr>
        <w:t xml:space="preserve"> )</w:t>
      </w:r>
      <w:proofErr w:type="gramEnd"/>
    </w:p>
    <w:p w14:paraId="09FF97A5" w14:textId="5A57CBF2" w:rsidR="0026445B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Analysis of POS sales performance for overseas subsidiaries by receipt and customer (analysis by receipt, material, and member available)</w:t>
      </w:r>
    </w:p>
    <w:p w14:paraId="2D6959CD" w14:textId="7B254965" w:rsidR="00D94AB3" w:rsidRPr="000E1ABE" w:rsidRDefault="001932FA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S_ZSD_703_Q0034 ([Std] Monthly Customer Count by Sales Organization)</w:t>
      </w:r>
    </w:p>
    <w:p w14:paraId="3DA6E48A" w14:textId="4DB623EC" w:rsidR="0026445B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Monthly/BY annual customer status analysis based on purchase performance of registered customers (material-level analysis not available)</w:t>
      </w:r>
    </w:p>
    <w:p w14:paraId="469A5E85" w14:textId="3F24927E" w:rsidR="0026445B" w:rsidRPr="000E1ABE" w:rsidRDefault="001932FA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S_ZSD_001_Q0019 ([Std] Net Sales &amp; Customer Sales by Country)</w:t>
      </w:r>
    </w:p>
    <w:p w14:paraId="2B28ECBC" w14:textId="2E5AF949" w:rsidR="0026445B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Compare net sales performance by period based on input date (Current Month, Same Month Last Year, Year-to-Date, Previous Year-to-Date, etc.)</w:t>
      </w:r>
    </w:p>
    <w:p w14:paraId="5C0EA8A9" w14:textId="4D3D694A" w:rsidR="001932FA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Accounting sales amount based on Old PL until BY22</w:t>
      </w:r>
    </w:p>
    <w:p w14:paraId="3969365C" w14:textId="5273B4AC" w:rsidR="0026445B" w:rsidRPr="000E1ABE" w:rsidRDefault="001932FA" w:rsidP="00A25F0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0E1ABE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Net sales amount based on New PL from BY23 </w:t>
      </w:r>
    </w:p>
    <w:sectPr w:rsidR="0026445B" w:rsidRPr="000E1AB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41FE" w14:textId="77777777" w:rsidR="0057779D" w:rsidRDefault="0057779D" w:rsidP="008C4E56">
      <w:r>
        <w:separator/>
      </w:r>
    </w:p>
  </w:endnote>
  <w:endnote w:type="continuationSeparator" w:id="0">
    <w:p w14:paraId="7953FF4B" w14:textId="77777777" w:rsidR="0057779D" w:rsidRDefault="0057779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DB48" w14:textId="77777777" w:rsidR="0057779D" w:rsidRDefault="0057779D" w:rsidP="008C4E56">
      <w:r>
        <w:separator/>
      </w:r>
    </w:p>
  </w:footnote>
  <w:footnote w:type="continuationSeparator" w:id="0">
    <w:p w14:paraId="75485158" w14:textId="77777777" w:rsidR="0057779D" w:rsidRDefault="0057779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E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3B41E9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83266981">
    <w:abstractNumId w:val="1"/>
  </w:num>
  <w:num w:numId="2" w16cid:durableId="1867524913">
    <w:abstractNumId w:val="0"/>
  </w:num>
  <w:num w:numId="3" w16cid:durableId="117330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D5A35"/>
    <w:rsid w:val="000E1ABE"/>
    <w:rsid w:val="00132AF7"/>
    <w:rsid w:val="001932FA"/>
    <w:rsid w:val="00196CE7"/>
    <w:rsid w:val="001D18EF"/>
    <w:rsid w:val="0026445B"/>
    <w:rsid w:val="00266A83"/>
    <w:rsid w:val="002A46EF"/>
    <w:rsid w:val="002B0A58"/>
    <w:rsid w:val="002F1444"/>
    <w:rsid w:val="00332E9F"/>
    <w:rsid w:val="00352E17"/>
    <w:rsid w:val="0057779D"/>
    <w:rsid w:val="005A1152"/>
    <w:rsid w:val="00610AEF"/>
    <w:rsid w:val="00616366"/>
    <w:rsid w:val="00635BFE"/>
    <w:rsid w:val="0071191F"/>
    <w:rsid w:val="00811E0C"/>
    <w:rsid w:val="008C2B5F"/>
    <w:rsid w:val="008C4E56"/>
    <w:rsid w:val="00A25F02"/>
    <w:rsid w:val="00AB40C2"/>
    <w:rsid w:val="00B11EEA"/>
    <w:rsid w:val="00B619E5"/>
    <w:rsid w:val="00BB27BC"/>
    <w:rsid w:val="00BB4DC8"/>
    <w:rsid w:val="00C34053"/>
    <w:rsid w:val="00D82B84"/>
    <w:rsid w:val="00D94AB3"/>
    <w:rsid w:val="00DB5609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F060E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115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5A115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A25F0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9DE18-C539-4E94-B71E-FB3C62AE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2B9C9B-0537-4025-8D18-3B75F4EB0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C93BC-9459-4B54-9CEF-410CB44AF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1060</Characters>
  <Application>Microsoft Office Word</Application>
  <DocSecurity>0</DocSecurity>
  <Lines>53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6</cp:revision>
  <dcterms:created xsi:type="dcterms:W3CDTF">2025-12-24T01:20:00Z</dcterms:created>
  <dcterms:modified xsi:type="dcterms:W3CDTF">2026-01-09T12:12:00Z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