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ABE5" w14:textId="7450EA2F" w:rsidR="00F321BD" w:rsidRPr="00C06E68" w:rsidRDefault="00C06E68">
      <w:pPr>
        <w:pStyle w:val="1"/>
        <w:rPr>
          <w:sz w:val="40"/>
          <w:szCs w:val="40"/>
        </w:rPr>
      </w:pPr>
      <w:r w:rsidRPr="00C06E68">
        <w:rPr>
          <w:rFonts w:hint="eastAsia"/>
          <w:sz w:val="40"/>
          <w:szCs w:val="40"/>
        </w:rPr>
        <w:t>WM</w:t>
      </w:r>
      <w:proofErr w:type="gramStart"/>
      <w:r w:rsidRPr="00C06E68">
        <w:rPr>
          <w:rFonts w:hint="eastAsia"/>
          <w:sz w:val="40"/>
          <w:szCs w:val="40"/>
        </w:rPr>
        <w:t>-</w:t>
      </w:r>
      <w:r w:rsidRPr="00C06E68">
        <w:rPr>
          <w:sz w:val="40"/>
          <w:szCs w:val="40"/>
        </w:rPr>
        <w:t>[</w:t>
      </w:r>
      <w:proofErr w:type="gramEnd"/>
      <w:r w:rsidRPr="00C06E68">
        <w:rPr>
          <w:sz w:val="40"/>
          <w:szCs w:val="40"/>
        </w:rPr>
        <w:t xml:space="preserve">For Thailand </w:t>
      </w:r>
      <w:proofErr w:type="gramStart"/>
      <w:r w:rsidRPr="00C06E68">
        <w:rPr>
          <w:sz w:val="40"/>
          <w:szCs w:val="40"/>
        </w:rPr>
        <w:t>Only]</w:t>
      </w:r>
      <w:r w:rsidR="00674C95" w:rsidRPr="00C06E68">
        <w:rPr>
          <w:sz w:val="40"/>
          <w:szCs w:val="40"/>
        </w:rPr>
        <w:t>How</w:t>
      </w:r>
      <w:proofErr w:type="gramEnd"/>
      <w:r w:rsidR="00674C95" w:rsidRPr="00C06E68">
        <w:rPr>
          <w:sz w:val="40"/>
          <w:szCs w:val="40"/>
        </w:rPr>
        <w:t xml:space="preserve"> to use transferring stock between storage locations of Thai</w:t>
      </w:r>
    </w:p>
    <w:p w14:paraId="1F634843" w14:textId="77777777" w:rsidR="00BC63BD" w:rsidRPr="00F36E5A" w:rsidRDefault="00BC63BD" w:rsidP="00BC63BD">
      <w:pPr>
        <w:pStyle w:val="a3"/>
        <w:numPr>
          <w:ilvl w:val="0"/>
          <w:numId w:val="4"/>
        </w:numPr>
        <w:outlineLvl w:val="1"/>
        <w:rPr>
          <w:sz w:val="36"/>
          <w:szCs w:val="36"/>
        </w:rPr>
      </w:pPr>
      <w:r w:rsidRPr="00F36E5A">
        <w:rPr>
          <w:rFonts w:hint="eastAsia"/>
          <w:b/>
          <w:bCs/>
          <w:sz w:val="36"/>
          <w:szCs w:val="36"/>
        </w:rPr>
        <w:t xml:space="preserve">T-Code/Function/Menu </w:t>
      </w:r>
    </w:p>
    <w:tbl>
      <w:tblPr>
        <w:tblStyle w:val="a7"/>
        <w:tblW w:w="9356" w:type="dxa"/>
        <w:tblInd w:w="108" w:type="dxa"/>
        <w:tblLook w:val="04A0" w:firstRow="1" w:lastRow="0" w:firstColumn="1" w:lastColumn="0" w:noHBand="0" w:noVBand="1"/>
      </w:tblPr>
      <w:tblGrid>
        <w:gridCol w:w="1536"/>
        <w:gridCol w:w="2441"/>
        <w:gridCol w:w="5379"/>
      </w:tblGrid>
      <w:tr w:rsidR="00BC63BD" w14:paraId="112B9918" w14:textId="77777777" w:rsidTr="00DD72B2">
        <w:trPr>
          <w:trHeight w:val="340"/>
        </w:trPr>
        <w:tc>
          <w:tcPr>
            <w:tcW w:w="1536" w:type="dxa"/>
            <w:shd w:val="clear" w:color="auto" w:fill="BFBFBF" w:themeFill="background1" w:themeFillShade="BF"/>
            <w:noWrap/>
            <w:hideMark/>
          </w:tcPr>
          <w:p w14:paraId="3ED8067C" w14:textId="77777777" w:rsidR="00BC63BD" w:rsidRDefault="00BC63BD" w:rsidP="00DD72B2">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Applications</w:t>
            </w:r>
          </w:p>
        </w:tc>
        <w:tc>
          <w:tcPr>
            <w:tcW w:w="2441" w:type="dxa"/>
            <w:shd w:val="clear" w:color="auto" w:fill="BFBFBF" w:themeFill="background1" w:themeFillShade="BF"/>
            <w:noWrap/>
            <w:hideMark/>
          </w:tcPr>
          <w:p w14:paraId="007D9C37" w14:textId="77777777" w:rsidR="00BC63BD" w:rsidRDefault="00BC63BD" w:rsidP="00DD72B2">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Menu/Function/T-Code Name</w:t>
            </w:r>
          </w:p>
        </w:tc>
        <w:tc>
          <w:tcPr>
            <w:tcW w:w="5379" w:type="dxa"/>
            <w:shd w:val="clear" w:color="auto" w:fill="BFBFBF" w:themeFill="background1" w:themeFillShade="BF"/>
            <w:noWrap/>
            <w:hideMark/>
          </w:tcPr>
          <w:p w14:paraId="6DDEA34C" w14:textId="77777777" w:rsidR="00BC63BD" w:rsidRDefault="00BC63BD" w:rsidP="00DD72B2">
            <w:pPr>
              <w:jc w:val="center"/>
              <w:rPr>
                <w:rFonts w:ascii="맑은 고딕" w:eastAsia="맑은 고딕" w:hAnsi="맑은 고딕"/>
                <w:b/>
                <w:bCs/>
                <w:color w:val="000000"/>
                <w:sz w:val="22"/>
                <w:szCs w:val="22"/>
              </w:rPr>
            </w:pPr>
            <w:r>
              <w:rPr>
                <w:rFonts w:ascii="맑은 고딕" w:eastAsia="맑은 고딕" w:hAnsi="맑은 고딕" w:hint="eastAsia"/>
                <w:b/>
                <w:bCs/>
                <w:color w:val="000000"/>
                <w:sz w:val="22"/>
                <w:szCs w:val="22"/>
              </w:rPr>
              <w:t>Description</w:t>
            </w:r>
          </w:p>
        </w:tc>
      </w:tr>
      <w:tr w:rsidR="00BC63BD" w14:paraId="55AC4840" w14:textId="77777777" w:rsidTr="00DD72B2">
        <w:trPr>
          <w:trHeight w:val="340"/>
        </w:trPr>
        <w:tc>
          <w:tcPr>
            <w:tcW w:w="1536" w:type="dxa"/>
            <w:noWrap/>
            <w:hideMark/>
          </w:tcPr>
          <w:p w14:paraId="509CDDBF" w14:textId="77777777" w:rsidR="00BC63BD" w:rsidRDefault="00BC63BD" w:rsidP="00DD72B2">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SAP-WM</w:t>
            </w:r>
          </w:p>
        </w:tc>
        <w:tc>
          <w:tcPr>
            <w:tcW w:w="2441" w:type="dxa"/>
            <w:noWrap/>
            <w:hideMark/>
          </w:tcPr>
          <w:p w14:paraId="2CF3D2C9" w14:textId="77777777" w:rsidR="00BC63BD" w:rsidRDefault="00BC63BD" w:rsidP="00DD72B2">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ZWM85110</w:t>
            </w:r>
          </w:p>
        </w:tc>
        <w:tc>
          <w:tcPr>
            <w:tcW w:w="5379" w:type="dxa"/>
            <w:noWrap/>
            <w:hideMark/>
          </w:tcPr>
          <w:p w14:paraId="20EA402A" w14:textId="77777777" w:rsidR="00BC63BD" w:rsidRDefault="00BC63BD" w:rsidP="00DD72B2">
            <w:pPr>
              <w:rPr>
                <w:rFonts w:ascii="맑은 고딕" w:eastAsia="맑은 고딕" w:hAnsi="맑은 고딕"/>
                <w:color w:val="000000"/>
                <w:sz w:val="22"/>
                <w:szCs w:val="22"/>
              </w:rPr>
            </w:pPr>
            <w:r>
              <w:rPr>
                <w:rFonts w:ascii="맑은 고딕" w:eastAsia="맑은 고딕" w:hAnsi="맑은 고딕" w:hint="eastAsia"/>
                <w:color w:val="000000"/>
                <w:sz w:val="22"/>
                <w:szCs w:val="22"/>
              </w:rPr>
              <w:t>STOCK Transfer</w:t>
            </w:r>
          </w:p>
        </w:tc>
      </w:tr>
      <w:tr w:rsidR="00BC63BD" w14:paraId="7E7C021E" w14:textId="77777777" w:rsidTr="00DD72B2">
        <w:trPr>
          <w:trHeight w:val="340"/>
        </w:trPr>
        <w:tc>
          <w:tcPr>
            <w:tcW w:w="1536" w:type="dxa"/>
            <w:noWrap/>
          </w:tcPr>
          <w:p w14:paraId="4D5C938B" w14:textId="77777777" w:rsidR="00BC63BD" w:rsidRDefault="00BC63BD" w:rsidP="00DD72B2">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SAP-WM</w:t>
            </w:r>
          </w:p>
        </w:tc>
        <w:tc>
          <w:tcPr>
            <w:tcW w:w="2441" w:type="dxa"/>
            <w:noWrap/>
          </w:tcPr>
          <w:p w14:paraId="73952298" w14:textId="77777777" w:rsidR="00BC63BD" w:rsidRDefault="00BC63BD" w:rsidP="00DD72B2">
            <w:pPr>
              <w:jc w:val="center"/>
              <w:rPr>
                <w:rFonts w:ascii="맑은 고딕" w:eastAsia="맑은 고딕" w:hAnsi="맑은 고딕"/>
                <w:color w:val="000000"/>
                <w:sz w:val="22"/>
                <w:szCs w:val="22"/>
              </w:rPr>
            </w:pPr>
            <w:r>
              <w:rPr>
                <w:rFonts w:ascii="맑은 고딕" w:eastAsia="맑은 고딕" w:hAnsi="맑은 고딕" w:hint="eastAsia"/>
                <w:color w:val="000000"/>
                <w:sz w:val="22"/>
                <w:szCs w:val="22"/>
              </w:rPr>
              <w:t>ZWM80460</w:t>
            </w:r>
          </w:p>
        </w:tc>
        <w:tc>
          <w:tcPr>
            <w:tcW w:w="5379" w:type="dxa"/>
            <w:noWrap/>
          </w:tcPr>
          <w:p w14:paraId="3B5D1F06" w14:textId="77777777" w:rsidR="00BC63BD" w:rsidRDefault="00BC63BD" w:rsidP="00DD72B2">
            <w:pPr>
              <w:rPr>
                <w:rFonts w:ascii="맑은 고딕" w:eastAsia="맑은 고딕" w:hAnsi="맑은 고딕"/>
                <w:color w:val="000000"/>
                <w:sz w:val="22"/>
                <w:szCs w:val="22"/>
              </w:rPr>
            </w:pPr>
            <w:r>
              <w:rPr>
                <w:rFonts w:ascii="맑은 고딕" w:eastAsia="맑은 고딕" w:hAnsi="맑은 고딕" w:hint="eastAsia"/>
                <w:color w:val="000000"/>
                <w:sz w:val="22"/>
                <w:szCs w:val="22"/>
              </w:rPr>
              <w:t>STOCK Transfer Monitor</w:t>
            </w:r>
          </w:p>
        </w:tc>
      </w:tr>
      <w:tr w:rsidR="00BC63BD" w14:paraId="30EF6401" w14:textId="77777777" w:rsidTr="00DD72B2">
        <w:trPr>
          <w:trHeight w:val="340"/>
        </w:trPr>
        <w:tc>
          <w:tcPr>
            <w:tcW w:w="1536" w:type="dxa"/>
            <w:noWrap/>
          </w:tcPr>
          <w:p w14:paraId="766A2A0A" w14:textId="77777777" w:rsidR="00BC63BD" w:rsidRDefault="00BC63BD" w:rsidP="00DD72B2">
            <w:pPr>
              <w:jc w:val="center"/>
              <w:rPr>
                <w:rFonts w:ascii="맑은 고딕" w:eastAsia="맑은 고딕" w:hAnsi="맑은 고딕"/>
                <w:color w:val="000000"/>
                <w:sz w:val="22"/>
                <w:szCs w:val="22"/>
              </w:rPr>
            </w:pPr>
          </w:p>
        </w:tc>
        <w:tc>
          <w:tcPr>
            <w:tcW w:w="2441" w:type="dxa"/>
            <w:noWrap/>
          </w:tcPr>
          <w:p w14:paraId="61DBA643" w14:textId="77777777" w:rsidR="00BC63BD" w:rsidRDefault="00BC63BD" w:rsidP="00DD72B2">
            <w:pPr>
              <w:jc w:val="center"/>
              <w:rPr>
                <w:rFonts w:ascii="맑은 고딕" w:eastAsia="맑은 고딕" w:hAnsi="맑은 고딕"/>
                <w:color w:val="000000"/>
                <w:sz w:val="22"/>
                <w:szCs w:val="22"/>
              </w:rPr>
            </w:pPr>
          </w:p>
        </w:tc>
        <w:tc>
          <w:tcPr>
            <w:tcW w:w="5379" w:type="dxa"/>
            <w:noWrap/>
          </w:tcPr>
          <w:p w14:paraId="42863015" w14:textId="77777777" w:rsidR="00BC63BD" w:rsidRDefault="00BC63BD" w:rsidP="00DD72B2">
            <w:pPr>
              <w:rPr>
                <w:rFonts w:ascii="맑은 고딕" w:eastAsia="맑은 고딕" w:hAnsi="맑은 고딕"/>
                <w:color w:val="000000"/>
                <w:sz w:val="22"/>
                <w:szCs w:val="22"/>
              </w:rPr>
            </w:pPr>
          </w:p>
        </w:tc>
      </w:tr>
    </w:tbl>
    <w:p w14:paraId="6ADC540D" w14:textId="77777777" w:rsidR="00BC63BD" w:rsidRPr="00F05CFF" w:rsidRDefault="00BC63BD" w:rsidP="00BC63BD">
      <w:pPr>
        <w:pStyle w:val="a3"/>
        <w:numPr>
          <w:ilvl w:val="0"/>
          <w:numId w:val="4"/>
        </w:numPr>
        <w:outlineLvl w:val="1"/>
        <w:rPr>
          <w:sz w:val="36"/>
          <w:szCs w:val="36"/>
        </w:rPr>
      </w:pPr>
      <w:r>
        <w:rPr>
          <w:rFonts w:hint="eastAsia"/>
          <w:b/>
          <w:bCs/>
          <w:sz w:val="36"/>
          <w:szCs w:val="36"/>
        </w:rPr>
        <w:t>Situation</w:t>
      </w:r>
    </w:p>
    <w:p w14:paraId="219160D3" w14:textId="77777777" w:rsidR="00BC63BD" w:rsidRDefault="00BC63BD" w:rsidP="00BC63BD">
      <w:pPr>
        <w:pStyle w:val="a3"/>
        <w:numPr>
          <w:ilvl w:val="1"/>
          <w:numId w:val="4"/>
        </w:numPr>
        <w:outlineLvl w:val="2"/>
      </w:pPr>
      <w:r>
        <w:rPr>
          <w:rFonts w:hint="eastAsia"/>
        </w:rPr>
        <w:t>Users who want to move inventory between storage locations in Thailand</w:t>
      </w:r>
    </w:p>
    <w:p w14:paraId="613C39EB" w14:textId="77777777" w:rsidR="00BC63BD" w:rsidRDefault="00BC63BD" w:rsidP="00BC63BD">
      <w:pPr>
        <w:pStyle w:val="a3"/>
        <w:numPr>
          <w:ilvl w:val="1"/>
          <w:numId w:val="4"/>
        </w:numPr>
        <w:outlineLvl w:val="2"/>
      </w:pPr>
      <w:r>
        <w:rPr>
          <w:rFonts w:hint="eastAsia"/>
        </w:rPr>
        <w:t>Inquiry Type</w:t>
      </w:r>
    </w:p>
    <w:p w14:paraId="5E86E035" w14:textId="77777777" w:rsidR="00BC63BD" w:rsidRDefault="00BC63BD" w:rsidP="00BC63BD">
      <w:pPr>
        <w:pStyle w:val="a3"/>
        <w:numPr>
          <w:ilvl w:val="2"/>
          <w:numId w:val="4"/>
        </w:numPr>
        <w:outlineLvl w:val="3"/>
      </w:pPr>
      <w:r>
        <w:t>"</w:t>
      </w:r>
      <w:r>
        <w:rPr>
          <w:rFonts w:hint="eastAsia"/>
        </w:rPr>
        <w:t>I want to move inventory between storage locations</w:t>
      </w:r>
      <w:r>
        <w:t>"</w:t>
      </w:r>
    </w:p>
    <w:p w14:paraId="77544A69" w14:textId="57E0A193" w:rsidR="00BC63BD" w:rsidRDefault="00BC63BD" w:rsidP="00BC63BD">
      <w:pPr>
        <w:pStyle w:val="a3"/>
        <w:numPr>
          <w:ilvl w:val="2"/>
          <w:numId w:val="4"/>
        </w:numPr>
        <w:outlineLvl w:val="3"/>
      </w:pPr>
      <w:r>
        <w:t>"</w:t>
      </w:r>
      <w:r>
        <w:rPr>
          <w:rFonts w:hint="eastAsia"/>
        </w:rPr>
        <w:t>I want to confirm the</w:t>
      </w:r>
      <w:r w:rsidR="00FC69B4">
        <w:rPr>
          <w:rFonts w:hint="eastAsia"/>
        </w:rPr>
        <w:t xml:space="preserve"> </w:t>
      </w:r>
      <w:r w:rsidR="00FC69B4">
        <w:t>transferring</w:t>
      </w:r>
      <w:r w:rsidR="00FC69B4">
        <w:rPr>
          <w:rFonts w:hint="eastAsia"/>
        </w:rPr>
        <w:t xml:space="preserve"> stock</w:t>
      </w:r>
      <w:r>
        <w:rPr>
          <w:rFonts w:hint="eastAsia"/>
        </w:rPr>
        <w:t xml:space="preserve"> from WMS</w:t>
      </w:r>
      <w:r>
        <w:t>."</w:t>
      </w:r>
    </w:p>
    <w:p w14:paraId="77B79354" w14:textId="77777777" w:rsidR="00BC63BD" w:rsidRDefault="00BC63BD" w:rsidP="00BC63BD">
      <w:pPr>
        <w:pStyle w:val="a3"/>
        <w:numPr>
          <w:ilvl w:val="2"/>
          <w:numId w:val="4"/>
        </w:numPr>
        <w:outlineLvl w:val="3"/>
      </w:pPr>
      <w:r>
        <w:t xml:space="preserve">"I want to </w:t>
      </w:r>
      <w:r>
        <w:rPr>
          <w:rFonts w:hint="eastAsia"/>
        </w:rPr>
        <w:t>check the results of the inventory movement between storage locations</w:t>
      </w:r>
      <w:r>
        <w:t>."</w:t>
      </w:r>
    </w:p>
    <w:p w14:paraId="3170D822" w14:textId="69CEAAA7" w:rsidR="0010673B" w:rsidRPr="009853ED" w:rsidRDefault="009D494F" w:rsidP="0010673B">
      <w:pPr>
        <w:pStyle w:val="2"/>
        <w:numPr>
          <w:ilvl w:val="0"/>
          <w:numId w:val="4"/>
        </w:numPr>
        <w:tabs>
          <w:tab w:val="num" w:pos="360"/>
        </w:tabs>
        <w:ind w:left="0" w:firstLine="0"/>
        <w:rPr>
          <w:sz w:val="36"/>
          <w:szCs w:val="36"/>
        </w:rPr>
      </w:pPr>
      <w:r w:rsidRPr="009D494F">
        <w:rPr>
          <w:rStyle w:val="a8"/>
          <w:b w:val="0"/>
          <w:bCs w:val="0"/>
          <w:sz w:val="36"/>
          <w:szCs w:val="36"/>
        </w:rPr>
        <w:t>Transferring stock between storage locations and WMS Interface</w:t>
      </w:r>
    </w:p>
    <w:p w14:paraId="10B1088E" w14:textId="38356250" w:rsidR="00D56ECB" w:rsidRDefault="0010673B" w:rsidP="00D56ECB">
      <w:pPr>
        <w:pStyle w:val="a3"/>
        <w:numPr>
          <w:ilvl w:val="1"/>
          <w:numId w:val="4"/>
        </w:numPr>
        <w:outlineLvl w:val="2"/>
      </w:pPr>
      <w:r w:rsidRPr="0010673B">
        <w:t>Perform stock transfer between storage locations using transaction code ZWM85110.</w:t>
      </w:r>
    </w:p>
    <w:p w14:paraId="72A1EA07" w14:textId="7863F2B1" w:rsidR="00D56ECB" w:rsidRDefault="0010673B" w:rsidP="0028793B">
      <w:pPr>
        <w:pStyle w:val="a3"/>
        <w:numPr>
          <w:ilvl w:val="2"/>
          <w:numId w:val="4"/>
        </w:numPr>
        <w:outlineLvl w:val="3"/>
      </w:pPr>
      <w:r>
        <w:rPr>
          <w:rFonts w:hint="eastAsia"/>
        </w:rPr>
        <w:t>I</w:t>
      </w:r>
      <w:r w:rsidRPr="0010673B">
        <w:t>n</w:t>
      </w:r>
      <w:r>
        <w:rPr>
          <w:rFonts w:hint="eastAsia"/>
        </w:rPr>
        <w:t>put</w:t>
      </w:r>
      <w:r w:rsidRPr="0010673B">
        <w:t xml:space="preserve"> the plant and FROM/TO storage location, then press Enter -&gt; </w:t>
      </w:r>
      <w:r>
        <w:rPr>
          <w:rFonts w:hint="eastAsia"/>
        </w:rPr>
        <w:t>input</w:t>
      </w:r>
      <w:r w:rsidRPr="0010673B">
        <w:t xml:space="preserve"> the product code and transfer </w:t>
      </w:r>
      <w:proofErr w:type="gramStart"/>
      <w:r w:rsidRPr="0010673B">
        <w:t>quantity, and</w:t>
      </w:r>
      <w:proofErr w:type="gramEnd"/>
      <w:r w:rsidRPr="0010673B">
        <w:t xml:space="preserve"> click 'Stock Transfer Posting' at the top of the screen.</w:t>
      </w:r>
    </w:p>
    <w:p w14:paraId="503F6F6B" w14:textId="27632457" w:rsidR="0010673B" w:rsidRDefault="0010673B" w:rsidP="0028793B">
      <w:pPr>
        <w:pStyle w:val="a3"/>
        <w:numPr>
          <w:ilvl w:val="2"/>
          <w:numId w:val="4"/>
        </w:numPr>
        <w:outlineLvl w:val="3"/>
      </w:pPr>
      <w:r>
        <w:rPr>
          <w:rFonts w:hint="eastAsia"/>
        </w:rPr>
        <w:t>Automatically generated documents are canceled when a WMS reception error occurs.</w:t>
      </w:r>
    </w:p>
    <w:p w14:paraId="489C0275" w14:textId="664CE5D7" w:rsidR="00D56ECB" w:rsidRDefault="006B62E2" w:rsidP="0099089D">
      <w:pPr>
        <w:pStyle w:val="a3"/>
        <w:jc w:val="center"/>
      </w:pPr>
      <w:r>
        <w:rPr>
          <w:noProof/>
        </w:rPr>
        <w:drawing>
          <wp:inline distT="0" distB="0" distL="0" distR="0" wp14:anchorId="2F1A54B4" wp14:editId="581DAAAD">
            <wp:extent cx="5943600" cy="1433195"/>
            <wp:effectExtent l="0" t="0" r="0" b="0"/>
            <wp:docPr id="80231425" name="그림 1" descr="텍스트, 스크린샷, 소프트웨어, 폰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1425" name="그림 1" descr="텍스트, 스크린샷, 소프트웨어, 폰트이(가) 표시된 사진&#10;&#10;AI 생성 콘텐츠는 정확하지 않을 수 있습니다."/>
                    <pic:cNvPicPr/>
                  </pic:nvPicPr>
                  <pic:blipFill>
                    <a:blip r:embed="rId8"/>
                    <a:stretch>
                      <a:fillRect/>
                    </a:stretch>
                  </pic:blipFill>
                  <pic:spPr>
                    <a:xfrm>
                      <a:off x="0" y="0"/>
                      <a:ext cx="5943600" cy="1433195"/>
                    </a:xfrm>
                    <a:prstGeom prst="rect">
                      <a:avLst/>
                    </a:prstGeom>
                  </pic:spPr>
                </pic:pic>
              </a:graphicData>
            </a:graphic>
          </wp:inline>
        </w:drawing>
      </w:r>
    </w:p>
    <w:p w14:paraId="24171C58" w14:textId="28EF50E1" w:rsidR="00D56ECB" w:rsidRDefault="00662793" w:rsidP="00D56ECB">
      <w:pPr>
        <w:pStyle w:val="a3"/>
        <w:numPr>
          <w:ilvl w:val="1"/>
          <w:numId w:val="4"/>
        </w:numPr>
        <w:outlineLvl w:val="2"/>
      </w:pPr>
      <w:r w:rsidRPr="00662793">
        <w:lastRenderedPageBreak/>
        <w:t>You can use transaction code ZWM80460 to check (monitor) the results of inventory movements.</w:t>
      </w:r>
      <w:r w:rsidR="00A47C73">
        <w:rPr>
          <w:rFonts w:hint="eastAsia"/>
        </w:rPr>
        <w:t xml:space="preserve"> </w:t>
      </w:r>
    </w:p>
    <w:p w14:paraId="25A72DA4" w14:textId="43AB316D" w:rsidR="00D56ECB" w:rsidRDefault="00662793" w:rsidP="0028793B">
      <w:pPr>
        <w:pStyle w:val="a3"/>
        <w:numPr>
          <w:ilvl w:val="2"/>
          <w:numId w:val="4"/>
        </w:numPr>
        <w:outlineLvl w:val="3"/>
      </w:pPr>
      <w:r w:rsidRPr="00662793">
        <w:t>Enter the I/F date and Plant, select the Status, and then execute.</w:t>
      </w:r>
    </w:p>
    <w:p w14:paraId="7028EFE6" w14:textId="08B2E1C0" w:rsidR="00FD03F7" w:rsidRDefault="00FD03F7" w:rsidP="0099089D">
      <w:pPr>
        <w:pStyle w:val="a3"/>
        <w:jc w:val="center"/>
      </w:pPr>
      <w:r w:rsidRPr="006B62E2">
        <w:rPr>
          <w:noProof/>
        </w:rPr>
        <w:drawing>
          <wp:inline distT="0" distB="0" distL="0" distR="0" wp14:anchorId="518B3F24" wp14:editId="79CDF028">
            <wp:extent cx="4676359" cy="3084830"/>
            <wp:effectExtent l="0" t="0" r="0" b="1270"/>
            <wp:docPr id="18" name="그림 17" descr="텍스트, 스크린샷, 디스플레이, 번호이(가) 표시된 사진&#10;&#10;AI 생성 콘텐츠는 정확하지 않을 수 있습니다.">
              <a:extLst xmlns:a="http://schemas.openxmlformats.org/drawingml/2006/main">
                <a:ext uri="{FF2B5EF4-FFF2-40B4-BE49-F238E27FC236}">
                  <a16:creationId xmlns:a16="http://schemas.microsoft.com/office/drawing/2014/main" id="{8D531E1F-BCBB-8E98-385F-B609DAF40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그림 17" descr="텍스트, 스크린샷, 디스플레이, 번호이(가) 표시된 사진&#10;&#10;AI 생성 콘텐츠는 정확하지 않을 수 있습니다.">
                      <a:extLst>
                        <a:ext uri="{FF2B5EF4-FFF2-40B4-BE49-F238E27FC236}">
                          <a16:creationId xmlns:a16="http://schemas.microsoft.com/office/drawing/2014/main" id="{8D531E1F-BCBB-8E98-385F-B609DAF4081A}"/>
                        </a:ext>
                      </a:extLst>
                    </pic:cNvPr>
                    <pic:cNvPicPr>
                      <a:picLocks noChangeAspect="1"/>
                    </pic:cNvPicPr>
                  </pic:nvPicPr>
                  <pic:blipFill>
                    <a:blip r:embed="rId9"/>
                    <a:stretch>
                      <a:fillRect/>
                    </a:stretch>
                  </pic:blipFill>
                  <pic:spPr>
                    <a:xfrm>
                      <a:off x="0" y="0"/>
                      <a:ext cx="4683421" cy="3089489"/>
                    </a:xfrm>
                    <a:prstGeom prst="rect">
                      <a:avLst/>
                    </a:prstGeom>
                  </pic:spPr>
                </pic:pic>
              </a:graphicData>
            </a:graphic>
          </wp:inline>
        </w:drawing>
      </w:r>
    </w:p>
    <w:p w14:paraId="5B5F7C58" w14:textId="39F19DB3" w:rsidR="00FD03F7" w:rsidRDefault="00FD03F7" w:rsidP="0028793B">
      <w:pPr>
        <w:pStyle w:val="a3"/>
        <w:numPr>
          <w:ilvl w:val="2"/>
          <w:numId w:val="4"/>
        </w:numPr>
        <w:outlineLvl w:val="3"/>
      </w:pPr>
      <w:r w:rsidRPr="00662793">
        <w:t>You can check the processing results on the query result screen. The first material document is an inventory transfer material document, and the second material document was automatically canceled due to a WMS interface error</w:t>
      </w:r>
    </w:p>
    <w:p w14:paraId="47F2A961" w14:textId="72DA358F" w:rsidR="00FD03F7" w:rsidRDefault="00FD03F7" w:rsidP="0099089D">
      <w:pPr>
        <w:pStyle w:val="a3"/>
        <w:ind w:left="800"/>
        <w:jc w:val="center"/>
      </w:pPr>
      <w:r>
        <w:rPr>
          <w:noProof/>
        </w:rPr>
        <w:drawing>
          <wp:inline distT="0" distB="0" distL="0" distR="0" wp14:anchorId="3845A304" wp14:editId="1AE726AC">
            <wp:extent cx="5472752" cy="2286745"/>
            <wp:effectExtent l="0" t="0" r="0" b="0"/>
            <wp:docPr id="1232544149" name="그림 1" descr="텍스트, 번호, 소프트웨어,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44149" name="그림 1" descr="텍스트, 번호, 소프트웨어, 스크린샷이(가) 표시된 사진&#10;&#10;AI 생성 콘텐츠는 정확하지 않을 수 있습니다."/>
                    <pic:cNvPicPr/>
                  </pic:nvPicPr>
                  <pic:blipFill>
                    <a:blip r:embed="rId10"/>
                    <a:stretch>
                      <a:fillRect/>
                    </a:stretch>
                  </pic:blipFill>
                  <pic:spPr>
                    <a:xfrm>
                      <a:off x="0" y="0"/>
                      <a:ext cx="5482329" cy="2290746"/>
                    </a:xfrm>
                    <a:prstGeom prst="rect">
                      <a:avLst/>
                    </a:prstGeom>
                  </pic:spPr>
                </pic:pic>
              </a:graphicData>
            </a:graphic>
          </wp:inline>
        </w:drawing>
      </w:r>
    </w:p>
    <w:p w14:paraId="41538471" w14:textId="6F56E8DB" w:rsidR="00A47C73" w:rsidRDefault="00A47C73" w:rsidP="00A47C73">
      <w:pPr>
        <w:pStyle w:val="a3"/>
        <w:ind w:left="1418"/>
        <w:outlineLvl w:val="2"/>
      </w:pPr>
    </w:p>
    <w:sectPr w:rsidR="00A47C73">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BABC" w14:textId="77777777" w:rsidR="00D94928" w:rsidRDefault="00D94928">
      <w:r>
        <w:separator/>
      </w:r>
    </w:p>
  </w:endnote>
  <w:endnote w:type="continuationSeparator" w:id="0">
    <w:p w14:paraId="509BA4B1" w14:textId="77777777" w:rsidR="00D94928" w:rsidRDefault="00D9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81AB" w14:textId="77777777" w:rsidR="00D94928" w:rsidRDefault="00D94928">
      <w:r>
        <w:separator/>
      </w:r>
    </w:p>
  </w:footnote>
  <w:footnote w:type="continuationSeparator" w:id="0">
    <w:p w14:paraId="5FA91995" w14:textId="77777777" w:rsidR="00D94928" w:rsidRDefault="00D94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A58"/>
    <w:multiLevelType w:val="hybridMultilevel"/>
    <w:tmpl w:val="6926541E"/>
    <w:lvl w:ilvl="0" w:tplc="6F46300C">
      <w:start w:val="1"/>
      <w:numFmt w:val="decimal"/>
      <w:lvlText w:val="%1."/>
      <w:lvlJc w:val="left"/>
      <w:pPr>
        <w:ind w:left="800" w:hanging="360"/>
      </w:pPr>
    </w:lvl>
    <w:lvl w:ilvl="1" w:tplc="04090019">
      <w:start w:val="1"/>
      <w:numFmt w:val="upperLetter"/>
      <w:lvlText w:val="%2."/>
      <w:lvlJc w:val="left"/>
      <w:pPr>
        <w:ind w:left="1320" w:hanging="440"/>
      </w:pPr>
    </w:lvl>
    <w:lvl w:ilvl="2" w:tplc="0409001B">
      <w:start w:val="1"/>
      <w:numFmt w:val="lowerRoman"/>
      <w:lvlText w:val="%3."/>
      <w:lvlJc w:val="right"/>
      <w:pPr>
        <w:ind w:left="1760" w:hanging="440"/>
      </w:pPr>
    </w:lvl>
    <w:lvl w:ilvl="3" w:tplc="0409000F">
      <w:start w:val="1"/>
      <w:numFmt w:val="decimal"/>
      <w:lvlText w:val="%4."/>
      <w:lvlJc w:val="left"/>
      <w:pPr>
        <w:ind w:left="2200" w:hanging="440"/>
      </w:pPr>
    </w:lvl>
    <w:lvl w:ilvl="4" w:tplc="04090019">
      <w:start w:val="1"/>
      <w:numFmt w:val="upperLetter"/>
      <w:lvlText w:val="%5."/>
      <w:lvlJc w:val="left"/>
      <w:pPr>
        <w:ind w:left="2640" w:hanging="440"/>
      </w:pPr>
    </w:lvl>
    <w:lvl w:ilvl="5" w:tplc="0409001B">
      <w:start w:val="1"/>
      <w:numFmt w:val="lowerRoman"/>
      <w:lvlText w:val="%6."/>
      <w:lvlJc w:val="right"/>
      <w:pPr>
        <w:ind w:left="3080" w:hanging="440"/>
      </w:pPr>
    </w:lvl>
    <w:lvl w:ilvl="6" w:tplc="0409000F">
      <w:start w:val="1"/>
      <w:numFmt w:val="decimal"/>
      <w:lvlText w:val="%7."/>
      <w:lvlJc w:val="left"/>
      <w:pPr>
        <w:ind w:left="3520" w:hanging="440"/>
      </w:pPr>
    </w:lvl>
    <w:lvl w:ilvl="7" w:tplc="04090019">
      <w:start w:val="1"/>
      <w:numFmt w:val="upperLetter"/>
      <w:lvlText w:val="%8."/>
      <w:lvlJc w:val="left"/>
      <w:pPr>
        <w:ind w:left="3960" w:hanging="440"/>
      </w:pPr>
    </w:lvl>
    <w:lvl w:ilvl="8" w:tplc="0409001B">
      <w:start w:val="1"/>
      <w:numFmt w:val="lowerRoman"/>
      <w:lvlText w:val="%9."/>
      <w:lvlJc w:val="right"/>
      <w:pPr>
        <w:ind w:left="4400" w:hanging="440"/>
      </w:pPr>
    </w:lvl>
  </w:abstractNum>
  <w:abstractNum w:abstractNumId="1" w15:restartNumberingAfterBreak="0">
    <w:nsid w:val="267D54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num w:numId="1" w16cid:durableId="1073818377">
    <w:abstractNumId w:val="0"/>
  </w:num>
  <w:num w:numId="2" w16cid:durableId="1090395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984654">
    <w:abstractNumId w:val="2"/>
  </w:num>
  <w:num w:numId="4" w16cid:durableId="74541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99"/>
    <w:rsid w:val="00031D82"/>
    <w:rsid w:val="0006004C"/>
    <w:rsid w:val="000837E3"/>
    <w:rsid w:val="000F26DD"/>
    <w:rsid w:val="0010673B"/>
    <w:rsid w:val="001B5232"/>
    <w:rsid w:val="00202A81"/>
    <w:rsid w:val="0028793B"/>
    <w:rsid w:val="00352A17"/>
    <w:rsid w:val="0036301F"/>
    <w:rsid w:val="003E7CCF"/>
    <w:rsid w:val="00401536"/>
    <w:rsid w:val="00426ECA"/>
    <w:rsid w:val="00442D9B"/>
    <w:rsid w:val="00447D99"/>
    <w:rsid w:val="004E0F9C"/>
    <w:rsid w:val="004F2E0A"/>
    <w:rsid w:val="005B5C80"/>
    <w:rsid w:val="005D46D5"/>
    <w:rsid w:val="005E37DF"/>
    <w:rsid w:val="006030C7"/>
    <w:rsid w:val="006031F4"/>
    <w:rsid w:val="00662793"/>
    <w:rsid w:val="006733A1"/>
    <w:rsid w:val="00674C95"/>
    <w:rsid w:val="006B62E2"/>
    <w:rsid w:val="006C4FDA"/>
    <w:rsid w:val="00716324"/>
    <w:rsid w:val="0072760A"/>
    <w:rsid w:val="00734A3A"/>
    <w:rsid w:val="007A206B"/>
    <w:rsid w:val="007B3506"/>
    <w:rsid w:val="007F12A7"/>
    <w:rsid w:val="007F43A2"/>
    <w:rsid w:val="008666FA"/>
    <w:rsid w:val="008F75CC"/>
    <w:rsid w:val="0094125B"/>
    <w:rsid w:val="0099089D"/>
    <w:rsid w:val="009B53AB"/>
    <w:rsid w:val="009D494F"/>
    <w:rsid w:val="00A115F6"/>
    <w:rsid w:val="00A47C73"/>
    <w:rsid w:val="00B366AE"/>
    <w:rsid w:val="00B47344"/>
    <w:rsid w:val="00BC63BD"/>
    <w:rsid w:val="00C06E68"/>
    <w:rsid w:val="00C54322"/>
    <w:rsid w:val="00C653F8"/>
    <w:rsid w:val="00C81780"/>
    <w:rsid w:val="00C83516"/>
    <w:rsid w:val="00CB766C"/>
    <w:rsid w:val="00CC0157"/>
    <w:rsid w:val="00CE4760"/>
    <w:rsid w:val="00CE6D8C"/>
    <w:rsid w:val="00D320DB"/>
    <w:rsid w:val="00D56ECB"/>
    <w:rsid w:val="00D94928"/>
    <w:rsid w:val="00E52DDF"/>
    <w:rsid w:val="00F01F60"/>
    <w:rsid w:val="00F321BD"/>
    <w:rsid w:val="00FA7040"/>
    <w:rsid w:val="00FB2BDC"/>
    <w:rsid w:val="00FC69B4"/>
    <w:rsid w:val="00FD03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867A0"/>
  <w15:chartTrackingRefBased/>
  <w15:docId w15:val="{034A7D8D-B689-484D-89ED-B450B09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next w:val="a"/>
    <w:link w:val="2Char"/>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locked/>
    <w:rPr>
      <w:rFonts w:asciiTheme="majorHAnsi" w:eastAsiaTheme="majorEastAsia" w:hAnsiTheme="majorHAnsi" w:cstheme="majorBidi" w:hint="eastAsia"/>
      <w:color w:val="000000" w:themeColor="text1"/>
      <w:sz w:val="32"/>
      <w:szCs w:val="32"/>
    </w:rPr>
  </w:style>
  <w:style w:type="character" w:customStyle="1" w:styleId="2Char">
    <w:name w:val="제목 2 Char"/>
    <w:basedOn w:val="a0"/>
    <w:link w:val="2"/>
    <w:uiPriority w:val="9"/>
    <w:semiHidden/>
    <w:locked/>
    <w:rPr>
      <w:rFonts w:asciiTheme="majorHAnsi" w:eastAsiaTheme="majorEastAsia" w:hAnsiTheme="majorHAnsi" w:cstheme="majorBidi" w:hint="eastAsia"/>
      <w:sz w:val="24"/>
      <w:szCs w:val="24"/>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locked/>
    <w:rPr>
      <w:rFonts w:ascii="굴림" w:eastAsia="굴림" w:hAnsi="굴림" w:cs="굴림" w:hint="eastAsia"/>
      <w:sz w:val="24"/>
      <w:szCs w:val="24"/>
    </w:rPr>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locked/>
    <w:rPr>
      <w:rFonts w:ascii="굴림" w:eastAsia="굴림" w:hAnsi="굴림" w:cs="굴림" w:hint="eastAsia"/>
      <w:sz w:val="24"/>
      <w:szCs w:val="24"/>
    </w:rPr>
  </w:style>
  <w:style w:type="paragraph" w:styleId="a6">
    <w:name w:val="List Paragraph"/>
    <w:basedOn w:val="a"/>
    <w:uiPriority w:val="34"/>
    <w:semiHidden/>
    <w:qFormat/>
    <w:pPr>
      <w:ind w:leftChars="400" w:left="800"/>
    </w:pPr>
  </w:style>
  <w:style w:type="table" w:styleId="a7">
    <w:name w:val="Table Grid"/>
    <w:basedOn w:val="a1"/>
    <w:uiPriority w:val="59"/>
    <w:rsid w:val="00C83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E52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1C7F-273B-4BC5-80D9-1C5B0A8A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1118</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VA03 - 판매 주문(SO)변경 이력 조회방법</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VA03 - 판매 주문(SO)변경 이력 조회방법</dc:title>
  <dc:subject/>
  <dc:creator>허광무/ITO SAP/KwangMoo Heo</dc:creator>
  <cp:keywords/>
  <dc:description/>
  <cp:lastModifiedBy>엄정달/ITO SAP/Eum Jungdal</cp:lastModifiedBy>
  <cp:revision>7</cp:revision>
  <dcterms:created xsi:type="dcterms:W3CDTF">2026-01-16T02:01:00Z</dcterms:created>
  <dcterms:modified xsi:type="dcterms:W3CDTF">2026-01-16T04:52:00Z</dcterms:modified>
</cp:coreProperties>
</file>