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2C666B38" w:rsidR="003E128D" w:rsidRPr="00BD6390" w:rsidRDefault="00AA7ACA" w:rsidP="003E128D">
      <w:pPr>
        <w:pStyle w:val="1"/>
        <w:rPr>
          <w:sz w:val="28"/>
          <w:szCs w:val="28"/>
        </w:rPr>
      </w:pPr>
      <w:r>
        <w:rPr>
          <w:rFonts w:hint="eastAsia"/>
          <w:sz w:val="28"/>
          <w:szCs w:val="28"/>
        </w:rPr>
        <w:t>FI</w:t>
      </w:r>
      <w:r w:rsidR="00EF6741" w:rsidRPr="00EF6741">
        <w:rPr>
          <w:rFonts w:hint="eastAsia"/>
          <w:sz w:val="28"/>
          <w:szCs w:val="28"/>
        </w:rPr>
        <w:t>_Carry Forward Manual_</w:t>
      </w:r>
      <w:r w:rsidR="00BD6390" w:rsidRPr="00BD6390">
        <w:rPr>
          <w:sz w:val="28"/>
          <w:szCs w:val="28"/>
        </w:rPr>
        <w:t>Special Purpose Ledger Balance carryforward (GVTR)</w:t>
      </w:r>
    </w:p>
    <w:p w14:paraId="3EFD7E89" w14:textId="027B9703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17608B">
        <w:rPr>
          <w:rFonts w:hint="eastAsia"/>
        </w:rPr>
        <w:t>Function</w:t>
      </w:r>
      <w:r w:rsidRPr="003C2FED">
        <w:rPr>
          <w:rFonts w:hint="eastAsia"/>
        </w:rPr>
        <w:t>/</w:t>
      </w:r>
      <w:r w:rsidR="0017608B">
        <w:rPr>
          <w:rFonts w:hint="eastAsia"/>
        </w:rPr>
        <w:t>Menu</w:t>
      </w:r>
      <w:r w:rsidRPr="003C2FE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17608B" w14:paraId="2D96BECB" w14:textId="77777777" w:rsidTr="6A3A3158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10E33847" w:rsidR="0017608B" w:rsidRDefault="0017608B" w:rsidP="0017608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375CB7A8" w:rsidR="0017608B" w:rsidRDefault="0017608B" w:rsidP="0017608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10E5D865" w:rsidR="0017608B" w:rsidRDefault="0017608B" w:rsidP="0017608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Descriptioin</w:t>
            </w:r>
          </w:p>
        </w:tc>
      </w:tr>
      <w:tr w:rsidR="00E672CA" w14:paraId="33D6BF5B" w14:textId="77777777" w:rsidTr="00E672CA">
        <w:trPr>
          <w:trHeight w:val="413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E672CA" w:rsidRDefault="00E672CA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441" w:type="dxa"/>
            <w:noWrap/>
            <w:hideMark/>
          </w:tcPr>
          <w:p w14:paraId="38F4E221" w14:textId="4963D215" w:rsidR="00E672CA" w:rsidRDefault="00E672CA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GVTR</w:t>
            </w:r>
          </w:p>
        </w:tc>
        <w:tc>
          <w:tcPr>
            <w:tcW w:w="5379" w:type="dxa"/>
            <w:noWrap/>
            <w:hideMark/>
          </w:tcPr>
          <w:p w14:paraId="2593D81E" w14:textId="0FB958C6" w:rsidR="00E672CA" w:rsidRDefault="00E672CA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17608B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The balance of the Receivable's adjustment account is carried over to the next fiscal year</w:t>
            </w:r>
          </w:p>
        </w:tc>
      </w:tr>
      <w:tr w:rsidR="00E672CA" w14:paraId="1DCD2FDB" w14:textId="77777777" w:rsidTr="00E672CA">
        <w:trPr>
          <w:trHeight w:val="412"/>
        </w:trPr>
        <w:tc>
          <w:tcPr>
            <w:tcW w:w="1536" w:type="dxa"/>
            <w:vMerge/>
            <w:noWrap/>
          </w:tcPr>
          <w:p w14:paraId="70096F2E" w14:textId="77777777" w:rsidR="00E672CA" w:rsidRPr="6A3A3158" w:rsidRDefault="00E672CA" w:rsidP="00E672CA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34FB21CF" w14:textId="1511C3C7" w:rsidR="00E672CA" w:rsidRDefault="00E672CA" w:rsidP="00E672CA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35078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D10N</w:t>
            </w:r>
          </w:p>
        </w:tc>
        <w:tc>
          <w:tcPr>
            <w:tcW w:w="5379" w:type="dxa"/>
            <w:noWrap/>
          </w:tcPr>
          <w:p w14:paraId="214CE3D5" w14:textId="2801487A" w:rsidR="00E672CA" w:rsidRPr="0017608B" w:rsidRDefault="00E672CA" w:rsidP="00E672C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797CC1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How to check after Carry forward of</w:t>
            </w:r>
            <w:r w:rsidRPr="00E672CA">
              <w:rPr>
                <w:rFonts w:asciiTheme="majorHAnsi" w:eastAsia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E672CA">
              <w:rPr>
                <w:rFonts w:asciiTheme="majorHAnsi" w:eastAsiaTheme="majorHAnsi" w:hAnsiTheme="majorHAnsi"/>
                <w:sz w:val="20"/>
                <w:szCs w:val="20"/>
              </w:rPr>
              <w:t>Special Purpose Ledger Balance</w:t>
            </w:r>
            <w:r w:rsidRPr="00797CC1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.</w:t>
            </w:r>
          </w:p>
        </w:tc>
      </w:tr>
    </w:tbl>
    <w:p w14:paraId="3B9F1A09" w14:textId="130E0410" w:rsidR="0017608B" w:rsidRDefault="0017608B" w:rsidP="0017608B">
      <w:pPr>
        <w:pStyle w:val="a3"/>
        <w:numPr>
          <w:ilvl w:val="0"/>
          <w:numId w:val="1"/>
        </w:numPr>
        <w:outlineLvl w:val="1"/>
      </w:pPr>
      <w:r w:rsidRPr="001260C3">
        <w:t xml:space="preserve">Carry Forward Procedure for </w:t>
      </w:r>
      <w:r>
        <w:rPr>
          <w:rFonts w:hint="eastAsia"/>
        </w:rPr>
        <w:t>Special Purpose Ledger</w:t>
      </w:r>
    </w:p>
    <w:p w14:paraId="0BE09AD7" w14:textId="5A5D16E2" w:rsidR="0017608B" w:rsidRPr="0063446B" w:rsidRDefault="0017608B" w:rsidP="00F528C7">
      <w:pPr>
        <w:pStyle w:val="a3"/>
        <w:numPr>
          <w:ilvl w:val="1"/>
          <w:numId w:val="1"/>
        </w:numPr>
        <w:outlineLvl w:val="2"/>
        <w:rPr>
          <w:b/>
          <w:bCs/>
        </w:rPr>
      </w:pPr>
      <w:r w:rsidRPr="0063446B">
        <w:rPr>
          <w:b/>
          <w:bCs/>
        </w:rPr>
        <w:t>Enter ‘</w:t>
      </w:r>
      <w:r w:rsidRPr="0063446B">
        <w:rPr>
          <w:rFonts w:hint="eastAsia"/>
          <w:b/>
          <w:bCs/>
        </w:rPr>
        <w:t>Z1</w:t>
      </w:r>
      <w:proofErr w:type="gramStart"/>
      <w:r w:rsidR="0063446B">
        <w:rPr>
          <w:b/>
          <w:bCs/>
        </w:rPr>
        <w:t>’</w:t>
      </w:r>
      <w:r w:rsidR="0063446B">
        <w:rPr>
          <w:rFonts w:hint="eastAsia"/>
          <w:b/>
          <w:bCs/>
        </w:rPr>
        <w:t>(</w:t>
      </w:r>
      <w:r w:rsidR="0063446B" w:rsidRPr="003417FC">
        <w:rPr>
          <w:b/>
          <w:bCs/>
        </w:rPr>
        <w:t>[</w:t>
      </w:r>
      <w:proofErr w:type="gramEnd"/>
      <w:r w:rsidR="0063446B" w:rsidRPr="003417FC">
        <w:rPr>
          <w:b/>
          <w:bCs/>
        </w:rPr>
        <w:t>FI-</w:t>
      </w:r>
      <w:proofErr w:type="gramStart"/>
      <w:r w:rsidR="0063446B" w:rsidRPr="003417FC">
        <w:rPr>
          <w:b/>
          <w:bCs/>
        </w:rPr>
        <w:t>AR]Customer/Recon.Acct</w:t>
      </w:r>
      <w:proofErr w:type="gramEnd"/>
      <w:r w:rsidR="0063446B" w:rsidRPr="003417FC">
        <w:rPr>
          <w:b/>
          <w:bCs/>
        </w:rPr>
        <w:t xml:space="preserve"> SL</w:t>
      </w:r>
      <w:r w:rsidR="0063446B">
        <w:rPr>
          <w:rFonts w:hint="eastAsia"/>
          <w:b/>
          <w:bCs/>
        </w:rPr>
        <w:t>)</w:t>
      </w:r>
      <w:r w:rsidRPr="0063446B">
        <w:rPr>
          <w:b/>
          <w:bCs/>
        </w:rPr>
        <w:t xml:space="preserve"> for the value of the </w:t>
      </w:r>
      <w:r w:rsidRPr="0063446B">
        <w:rPr>
          <w:rFonts w:hint="eastAsia"/>
          <w:b/>
          <w:bCs/>
        </w:rPr>
        <w:t>Ledger</w:t>
      </w:r>
      <w:r w:rsidRPr="0063446B">
        <w:rPr>
          <w:b/>
          <w:bCs/>
        </w:rPr>
        <w:t xml:space="preserve"> field.</w:t>
      </w:r>
      <w:r w:rsidRPr="0063446B">
        <w:rPr>
          <w:rFonts w:hint="eastAsia"/>
          <w:b/>
          <w:bCs/>
        </w:rPr>
        <w:t xml:space="preserve"> </w:t>
      </w:r>
    </w:p>
    <w:p w14:paraId="42A0D87C" w14:textId="5B1012AA" w:rsidR="0017608B" w:rsidRDefault="0017608B" w:rsidP="00F528C7">
      <w:pPr>
        <w:pStyle w:val="a3"/>
        <w:numPr>
          <w:ilvl w:val="1"/>
          <w:numId w:val="1"/>
        </w:numPr>
        <w:outlineLvl w:val="2"/>
      </w:pPr>
      <w:r w:rsidRPr="001A74A5">
        <w:t>Enter company code</w:t>
      </w:r>
    </w:p>
    <w:p w14:paraId="2F9DF799" w14:textId="12A8F859" w:rsidR="0017608B" w:rsidRDefault="0017608B" w:rsidP="00F528C7">
      <w:pPr>
        <w:pStyle w:val="a3"/>
        <w:numPr>
          <w:ilvl w:val="1"/>
          <w:numId w:val="1"/>
        </w:numPr>
        <w:outlineLvl w:val="2"/>
      </w:pPr>
      <w:r w:rsidRPr="00C862CF">
        <w:t>Enter new fiscal year</w:t>
      </w:r>
    </w:p>
    <w:p w14:paraId="41206FD8" w14:textId="77777777" w:rsidR="00F528C7" w:rsidRDefault="0017608B" w:rsidP="00F528C7">
      <w:pPr>
        <w:pStyle w:val="a3"/>
        <w:numPr>
          <w:ilvl w:val="1"/>
          <w:numId w:val="1"/>
        </w:numPr>
        <w:outlineLvl w:val="2"/>
      </w:pPr>
      <w:r w:rsidRPr="00C862CF">
        <w:t xml:space="preserve">If it is a test, check </w:t>
      </w:r>
      <w:r>
        <w:rPr>
          <w:rFonts w:hint="eastAsia"/>
        </w:rPr>
        <w:t xml:space="preserve">the </w:t>
      </w:r>
      <w:r w:rsidRPr="00C862CF">
        <w:t xml:space="preserve">"Test </w:t>
      </w:r>
      <w:r>
        <w:rPr>
          <w:rFonts w:hint="eastAsia"/>
        </w:rPr>
        <w:t>run</w:t>
      </w:r>
      <w:r w:rsidRPr="00C862CF">
        <w:t>" as 'X'</w:t>
      </w:r>
    </w:p>
    <w:p w14:paraId="4D46C2CE" w14:textId="724E4E58" w:rsidR="002C4DD7" w:rsidRDefault="0017608B" w:rsidP="00F528C7">
      <w:pPr>
        <w:pStyle w:val="a3"/>
        <w:ind w:left="425"/>
      </w:pPr>
      <w:r w:rsidRPr="0017608B">
        <w:rPr>
          <w:noProof/>
        </w:rPr>
        <w:drawing>
          <wp:inline distT="0" distB="0" distL="0" distR="0" wp14:anchorId="6F13B8C5" wp14:editId="76308425">
            <wp:extent cx="5318760" cy="3585681"/>
            <wp:effectExtent l="0" t="0" r="0" b="0"/>
            <wp:docPr id="1463488968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88968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6595" cy="35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3A043" w14:textId="77777777" w:rsidR="005F3647" w:rsidRDefault="005F3647" w:rsidP="00F528C7">
      <w:pPr>
        <w:pStyle w:val="a3"/>
        <w:ind w:left="425"/>
      </w:pPr>
    </w:p>
    <w:p w14:paraId="1C39CC03" w14:textId="77777777" w:rsidR="005F3647" w:rsidRDefault="005F3647" w:rsidP="00F528C7">
      <w:pPr>
        <w:pStyle w:val="a3"/>
        <w:ind w:left="425"/>
      </w:pPr>
    </w:p>
    <w:p w14:paraId="75FBB69D" w14:textId="08F88CBA" w:rsidR="002C4DD7" w:rsidRPr="005F3647" w:rsidRDefault="0017608B" w:rsidP="00F528C7">
      <w:pPr>
        <w:pStyle w:val="a3"/>
        <w:numPr>
          <w:ilvl w:val="1"/>
          <w:numId w:val="1"/>
        </w:numPr>
        <w:outlineLvl w:val="2"/>
        <w:rPr>
          <w:b/>
          <w:bCs/>
        </w:rPr>
      </w:pPr>
      <w:r w:rsidRPr="00C6639E">
        <w:lastRenderedPageBreak/>
        <w:t xml:space="preserve">Delete the value of the </w:t>
      </w:r>
      <w:r w:rsidRPr="005F3647">
        <w:rPr>
          <w:b/>
          <w:bCs/>
        </w:rPr>
        <w:t>"</w:t>
      </w:r>
      <w:r w:rsidRPr="005F3647">
        <w:rPr>
          <w:rFonts w:hint="eastAsia"/>
          <w:b/>
          <w:bCs/>
        </w:rPr>
        <w:t>Test r</w:t>
      </w:r>
      <w:r w:rsidRPr="005F3647">
        <w:rPr>
          <w:b/>
          <w:bCs/>
        </w:rPr>
        <w:t>un" field</w:t>
      </w:r>
      <w:r w:rsidRPr="005F3647">
        <w:rPr>
          <w:rFonts w:hint="eastAsia"/>
          <w:b/>
          <w:bCs/>
        </w:rPr>
        <w:t>,</w:t>
      </w:r>
      <w:r w:rsidRPr="005F3647">
        <w:rPr>
          <w:b/>
          <w:bCs/>
        </w:rPr>
        <w:t xml:space="preserve"> if it is a real run</w:t>
      </w:r>
    </w:p>
    <w:p w14:paraId="72E6B6CE" w14:textId="75A156CE" w:rsidR="00ED7DCF" w:rsidRDefault="0017608B" w:rsidP="001127D0">
      <w:pPr>
        <w:pStyle w:val="a3"/>
        <w:ind w:left="425"/>
      </w:pPr>
      <w:r w:rsidRPr="0017608B">
        <w:rPr>
          <w:noProof/>
        </w:rPr>
        <w:drawing>
          <wp:inline distT="0" distB="0" distL="0" distR="0" wp14:anchorId="498C195E" wp14:editId="49698B11">
            <wp:extent cx="5080238" cy="3349375"/>
            <wp:effectExtent l="0" t="0" r="6350" b="3810"/>
            <wp:docPr id="1348212287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12287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5450" cy="335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1CBC7" w14:textId="77777777" w:rsidR="005F3647" w:rsidRDefault="005F3647" w:rsidP="001127D0">
      <w:pPr>
        <w:pStyle w:val="a3"/>
        <w:ind w:left="425"/>
      </w:pPr>
    </w:p>
    <w:p w14:paraId="55E9DFA1" w14:textId="77777777" w:rsidR="008C1117" w:rsidRDefault="008C1117" w:rsidP="001127D0">
      <w:pPr>
        <w:pStyle w:val="a3"/>
        <w:ind w:left="425"/>
      </w:pPr>
    </w:p>
    <w:p w14:paraId="766B3437" w14:textId="77777777" w:rsidR="008C1117" w:rsidRDefault="008C1117" w:rsidP="001127D0">
      <w:pPr>
        <w:pStyle w:val="a3"/>
        <w:ind w:left="425"/>
      </w:pPr>
    </w:p>
    <w:p w14:paraId="0421FBBD" w14:textId="77777777" w:rsidR="008C1117" w:rsidRDefault="008C1117" w:rsidP="001127D0">
      <w:pPr>
        <w:pStyle w:val="a3"/>
        <w:ind w:left="425"/>
      </w:pPr>
    </w:p>
    <w:p w14:paraId="2B4D20B5" w14:textId="77777777" w:rsidR="008C1117" w:rsidRDefault="008C1117" w:rsidP="001127D0">
      <w:pPr>
        <w:pStyle w:val="a3"/>
        <w:ind w:left="425"/>
      </w:pPr>
    </w:p>
    <w:p w14:paraId="32CE0771" w14:textId="77777777" w:rsidR="008C1117" w:rsidRDefault="008C1117" w:rsidP="001127D0">
      <w:pPr>
        <w:pStyle w:val="a3"/>
        <w:ind w:left="425"/>
      </w:pPr>
    </w:p>
    <w:p w14:paraId="176B9157" w14:textId="77777777" w:rsidR="008C1117" w:rsidRDefault="008C1117" w:rsidP="001127D0">
      <w:pPr>
        <w:pStyle w:val="a3"/>
        <w:ind w:left="425"/>
      </w:pPr>
    </w:p>
    <w:p w14:paraId="44BF795B" w14:textId="77777777" w:rsidR="008C1117" w:rsidRDefault="008C1117" w:rsidP="001127D0">
      <w:pPr>
        <w:pStyle w:val="a3"/>
        <w:ind w:left="425"/>
      </w:pPr>
    </w:p>
    <w:p w14:paraId="027F1819" w14:textId="77777777" w:rsidR="008C1117" w:rsidRDefault="008C1117" w:rsidP="001127D0">
      <w:pPr>
        <w:pStyle w:val="a3"/>
        <w:ind w:left="425"/>
      </w:pPr>
    </w:p>
    <w:p w14:paraId="134D2FD7" w14:textId="77777777" w:rsidR="008C1117" w:rsidRDefault="008C1117" w:rsidP="001127D0">
      <w:pPr>
        <w:pStyle w:val="a3"/>
        <w:ind w:left="425"/>
      </w:pPr>
    </w:p>
    <w:p w14:paraId="59CBA9FD" w14:textId="77777777" w:rsidR="008C1117" w:rsidRDefault="008C1117" w:rsidP="001127D0">
      <w:pPr>
        <w:pStyle w:val="a3"/>
        <w:ind w:left="425"/>
      </w:pPr>
    </w:p>
    <w:p w14:paraId="5FA62D2A" w14:textId="5634CC68" w:rsidR="00036833" w:rsidRPr="005F3647" w:rsidRDefault="005F3647" w:rsidP="00036833">
      <w:pPr>
        <w:pStyle w:val="a3"/>
        <w:numPr>
          <w:ilvl w:val="0"/>
          <w:numId w:val="1"/>
        </w:numPr>
        <w:outlineLvl w:val="1"/>
      </w:pPr>
      <w:r w:rsidRPr="005F3647">
        <w:lastRenderedPageBreak/>
        <w:t xml:space="preserve">Check the AR (Customer) Reconciliation Account Balance Carryforward in the </w:t>
      </w:r>
      <w:r w:rsidRPr="006A00C9">
        <w:rPr>
          <w:b/>
          <w:bCs/>
        </w:rPr>
        <w:t xml:space="preserve">Special </w:t>
      </w:r>
      <w:r w:rsidRPr="006A00C9">
        <w:rPr>
          <w:rFonts w:hint="eastAsia"/>
          <w:b/>
          <w:bCs/>
        </w:rPr>
        <w:t>general ledger</w:t>
      </w:r>
      <w:r w:rsidRPr="006A00C9">
        <w:rPr>
          <w:b/>
          <w:bCs/>
        </w:rPr>
        <w:t xml:space="preserve"> view</w:t>
      </w:r>
      <w:r w:rsidRPr="005F3647">
        <w:t xml:space="preserve"> of </w:t>
      </w:r>
      <w:r w:rsidRPr="006A00C9">
        <w:rPr>
          <w:b/>
          <w:bCs/>
        </w:rPr>
        <w:t>FD10N</w:t>
      </w:r>
      <w:r w:rsidRPr="005F3647">
        <w:t>.”</w:t>
      </w:r>
      <w:r w:rsidR="00036833" w:rsidRPr="005F3647">
        <w:rPr>
          <w:rFonts w:hint="eastAsia"/>
        </w:rPr>
        <w:t>.</w:t>
      </w:r>
    </w:p>
    <w:p w14:paraId="37F6E41A" w14:textId="77777777" w:rsidR="00F67628" w:rsidRDefault="00F67628" w:rsidP="00F67628">
      <w:pPr>
        <w:pStyle w:val="a3"/>
        <w:numPr>
          <w:ilvl w:val="1"/>
          <w:numId w:val="1"/>
        </w:numPr>
        <w:outlineLvl w:val="2"/>
      </w:pPr>
      <w:r w:rsidRPr="001A74A5">
        <w:t xml:space="preserve">Enter </w:t>
      </w:r>
      <w:r>
        <w:t>“</w:t>
      </w:r>
      <w:r>
        <w:rPr>
          <w:rFonts w:hint="eastAsia"/>
        </w:rPr>
        <w:t>Customer Code</w:t>
      </w:r>
      <w:r>
        <w:t xml:space="preserve">” </w:t>
      </w:r>
    </w:p>
    <w:p w14:paraId="15997EE8" w14:textId="77777777" w:rsidR="00F67628" w:rsidRDefault="00F67628" w:rsidP="00F67628">
      <w:pPr>
        <w:pStyle w:val="a3"/>
        <w:numPr>
          <w:ilvl w:val="1"/>
          <w:numId w:val="1"/>
        </w:numPr>
        <w:outlineLvl w:val="2"/>
      </w:pPr>
      <w:r w:rsidRPr="00C862CF">
        <w:t xml:space="preserve">Enter </w:t>
      </w:r>
      <w:r>
        <w:t>“</w:t>
      </w:r>
      <w:r>
        <w:rPr>
          <w:rFonts w:hint="eastAsia"/>
        </w:rPr>
        <w:t>Company Code</w:t>
      </w:r>
      <w:r>
        <w:t>”</w:t>
      </w:r>
    </w:p>
    <w:p w14:paraId="52A813C9" w14:textId="646DA6AF" w:rsidR="00036833" w:rsidRDefault="00F67628" w:rsidP="00F67628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Enter </w:t>
      </w:r>
      <w:r>
        <w:t>“</w:t>
      </w:r>
      <w:r>
        <w:rPr>
          <w:rFonts w:hint="eastAsia"/>
        </w:rPr>
        <w:t>Fiscal Year</w:t>
      </w:r>
      <w:r>
        <w:t>”</w:t>
      </w:r>
    </w:p>
    <w:p w14:paraId="4D0BFAED" w14:textId="02CA3210" w:rsidR="00036833" w:rsidRDefault="00842167" w:rsidP="001127D0">
      <w:pPr>
        <w:pStyle w:val="a3"/>
        <w:ind w:left="425"/>
      </w:pPr>
      <w:r w:rsidRPr="00842167">
        <w:rPr>
          <w:noProof/>
        </w:rPr>
        <w:drawing>
          <wp:inline distT="0" distB="0" distL="0" distR="0" wp14:anchorId="21EF501A" wp14:editId="062B6DCF">
            <wp:extent cx="4975946" cy="3737693"/>
            <wp:effectExtent l="0" t="0" r="0" b="0"/>
            <wp:docPr id="620500086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00086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5946" cy="373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1105C" w14:textId="0B368AE7" w:rsidR="007D4BE6" w:rsidRPr="007D4BE6" w:rsidRDefault="007D4BE6" w:rsidP="007D4BE6">
      <w:pPr>
        <w:pStyle w:val="aa"/>
        <w:numPr>
          <w:ilvl w:val="0"/>
          <w:numId w:val="12"/>
        </w:numPr>
        <w:spacing w:line="300" w:lineRule="atLeast"/>
        <w:ind w:leftChars="0"/>
        <w:rPr>
          <w:rFonts w:cs="Segoe UI"/>
        </w:rPr>
      </w:pPr>
      <w:r w:rsidRPr="007D4BE6">
        <w:rPr>
          <w:rFonts w:cs="Segoe UI"/>
        </w:rPr>
        <w:t xml:space="preserve">When you view </w:t>
      </w:r>
      <w:proofErr w:type="gramStart"/>
      <w:r>
        <w:rPr>
          <w:rFonts w:cs="Segoe UI" w:hint="eastAsia"/>
        </w:rPr>
        <w:t>customer</w:t>
      </w:r>
      <w:proofErr w:type="gramEnd"/>
      <w:r w:rsidRPr="007D4BE6">
        <w:rPr>
          <w:rFonts w:cs="Segoe UI"/>
        </w:rPr>
        <w:t xml:space="preserve"> that use Special G/L, you can see the carryforward balance, which is the balance brought forward from the previous fiscal year into the current fiscal year</w:t>
      </w:r>
    </w:p>
    <w:p w14:paraId="370CF5C1" w14:textId="7E3304B4" w:rsidR="00FC1D1D" w:rsidRDefault="00FC1D1D" w:rsidP="007D4BE6">
      <w:pPr>
        <w:pStyle w:val="aa"/>
        <w:ind w:leftChars="0" w:left="785"/>
      </w:pPr>
    </w:p>
    <w:p w14:paraId="1FFDE435" w14:textId="58B7530E" w:rsidR="00AD632E" w:rsidRDefault="003677CE" w:rsidP="00AD632E">
      <w:pPr>
        <w:ind w:left="425"/>
      </w:pPr>
      <w:r w:rsidRPr="003677CE">
        <w:rPr>
          <w:noProof/>
        </w:rPr>
        <w:lastRenderedPageBreak/>
        <w:drawing>
          <wp:inline distT="0" distB="0" distL="0" distR="0" wp14:anchorId="0BFA1A87" wp14:editId="6ED2E39F">
            <wp:extent cx="4692835" cy="3444018"/>
            <wp:effectExtent l="0" t="0" r="0" b="4445"/>
            <wp:docPr id="1036391461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91461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3872" cy="345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572DD" w14:textId="7C2D2E84" w:rsidR="00AD632E" w:rsidRPr="006749C2" w:rsidRDefault="00E30F2D" w:rsidP="00E30F2D">
      <w:pPr>
        <w:pStyle w:val="aa"/>
        <w:numPr>
          <w:ilvl w:val="0"/>
          <w:numId w:val="12"/>
        </w:numPr>
        <w:ind w:left="1320"/>
      </w:pPr>
      <w:r w:rsidRPr="00E30F2D">
        <w:t xml:space="preserve">When you check the Special </w:t>
      </w:r>
      <w:r>
        <w:rPr>
          <w:rFonts w:hint="eastAsia"/>
        </w:rPr>
        <w:t>general ledger</w:t>
      </w:r>
      <w:r w:rsidRPr="00E30F2D">
        <w:t xml:space="preserve"> for the </w:t>
      </w:r>
      <w:r>
        <w:rPr>
          <w:rFonts w:hint="eastAsia"/>
        </w:rPr>
        <w:t>customer</w:t>
      </w:r>
      <w:r w:rsidRPr="00E30F2D">
        <w:t xml:space="preserve"> you inquired, you can verify that the year</w:t>
      </w:r>
      <w:r w:rsidRPr="00E30F2D">
        <w:noBreakHyphen/>
        <w:t xml:space="preserve">end balance of 2025 matches the beginning balance (cumulative balance) of 2026. If there are any </w:t>
      </w:r>
      <w:proofErr w:type="gramStart"/>
      <w:r w:rsidR="00B21DD2">
        <w:rPr>
          <w:rFonts w:hint="eastAsia"/>
        </w:rPr>
        <w:t>customer</w:t>
      </w:r>
      <w:proofErr w:type="gramEnd"/>
      <w:r w:rsidRPr="00E30F2D">
        <w:t xml:space="preserve"> for which the balances do not match, it indicates that additional postings were entered in the prior year after the carryforward process. In such cases, simply rerun the carryforward process.</w:t>
      </w:r>
    </w:p>
    <w:sectPr w:rsidR="00AD632E" w:rsidRPr="006749C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4E0B" w14:textId="77777777" w:rsidR="00274A1C" w:rsidRDefault="00274A1C" w:rsidP="00C93660">
      <w:r>
        <w:separator/>
      </w:r>
    </w:p>
  </w:endnote>
  <w:endnote w:type="continuationSeparator" w:id="0">
    <w:p w14:paraId="4652AE2B" w14:textId="77777777" w:rsidR="00274A1C" w:rsidRDefault="00274A1C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87F4" w14:textId="77777777" w:rsidR="00274A1C" w:rsidRDefault="00274A1C" w:rsidP="00C93660">
      <w:r>
        <w:separator/>
      </w:r>
    </w:p>
  </w:footnote>
  <w:footnote w:type="continuationSeparator" w:id="0">
    <w:p w14:paraId="4CAFA35A" w14:textId="77777777" w:rsidR="00274A1C" w:rsidRDefault="00274A1C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FBB"/>
    <w:multiLevelType w:val="hybridMultilevel"/>
    <w:tmpl w:val="0308B688"/>
    <w:lvl w:ilvl="0" w:tplc="AAFC320A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7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2BF10A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434675D"/>
    <w:multiLevelType w:val="hybridMultilevel"/>
    <w:tmpl w:val="10A841CC"/>
    <w:lvl w:ilvl="0" w:tplc="8DEE86AC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5"/>
  </w:num>
  <w:num w:numId="2" w16cid:durableId="1138458062">
    <w:abstractNumId w:val="2"/>
  </w:num>
  <w:num w:numId="3" w16cid:durableId="903105220">
    <w:abstractNumId w:val="7"/>
  </w:num>
  <w:num w:numId="4" w16cid:durableId="1704136956">
    <w:abstractNumId w:val="10"/>
  </w:num>
  <w:num w:numId="5" w16cid:durableId="1279265189">
    <w:abstractNumId w:val="4"/>
  </w:num>
  <w:num w:numId="6" w16cid:durableId="136068036">
    <w:abstractNumId w:val="1"/>
  </w:num>
  <w:num w:numId="7" w16cid:durableId="796146257">
    <w:abstractNumId w:val="3"/>
  </w:num>
  <w:num w:numId="8" w16cid:durableId="109593086">
    <w:abstractNumId w:val="11"/>
  </w:num>
  <w:num w:numId="9" w16cid:durableId="157694143">
    <w:abstractNumId w:val="6"/>
  </w:num>
  <w:num w:numId="10" w16cid:durableId="1245577998">
    <w:abstractNumId w:val="8"/>
  </w:num>
  <w:num w:numId="11" w16cid:durableId="1902904558">
    <w:abstractNumId w:val="9"/>
  </w:num>
  <w:num w:numId="12" w16cid:durableId="101530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6837"/>
    <w:rsid w:val="00036833"/>
    <w:rsid w:val="0004289A"/>
    <w:rsid w:val="00066AED"/>
    <w:rsid w:val="000B77EA"/>
    <w:rsid w:val="000C7A43"/>
    <w:rsid w:val="000D5088"/>
    <w:rsid w:val="00105471"/>
    <w:rsid w:val="001127D0"/>
    <w:rsid w:val="001545F1"/>
    <w:rsid w:val="00172681"/>
    <w:rsid w:val="00173AEA"/>
    <w:rsid w:val="0017608B"/>
    <w:rsid w:val="001B23DB"/>
    <w:rsid w:val="001B43D7"/>
    <w:rsid w:val="001F0E2D"/>
    <w:rsid w:val="00224210"/>
    <w:rsid w:val="002301CE"/>
    <w:rsid w:val="002515FC"/>
    <w:rsid w:val="002731E7"/>
    <w:rsid w:val="00274A1C"/>
    <w:rsid w:val="002767CE"/>
    <w:rsid w:val="0027700C"/>
    <w:rsid w:val="00297C8B"/>
    <w:rsid w:val="002B6B04"/>
    <w:rsid w:val="002C4DD7"/>
    <w:rsid w:val="002C7780"/>
    <w:rsid w:val="002D4992"/>
    <w:rsid w:val="002E5EA5"/>
    <w:rsid w:val="00306430"/>
    <w:rsid w:val="003402C9"/>
    <w:rsid w:val="00350785"/>
    <w:rsid w:val="003677CE"/>
    <w:rsid w:val="003742F8"/>
    <w:rsid w:val="003858D9"/>
    <w:rsid w:val="003C2FED"/>
    <w:rsid w:val="003E128D"/>
    <w:rsid w:val="003E47F0"/>
    <w:rsid w:val="003E64C5"/>
    <w:rsid w:val="00407AC0"/>
    <w:rsid w:val="00414D5B"/>
    <w:rsid w:val="004169A7"/>
    <w:rsid w:val="0043397A"/>
    <w:rsid w:val="00436F9C"/>
    <w:rsid w:val="004471CF"/>
    <w:rsid w:val="004678E0"/>
    <w:rsid w:val="004716D4"/>
    <w:rsid w:val="004D139C"/>
    <w:rsid w:val="004D18DB"/>
    <w:rsid w:val="004E10CA"/>
    <w:rsid w:val="004F3A10"/>
    <w:rsid w:val="00521CC2"/>
    <w:rsid w:val="00563A9C"/>
    <w:rsid w:val="005D4D5B"/>
    <w:rsid w:val="005E1D53"/>
    <w:rsid w:val="005E4100"/>
    <w:rsid w:val="005F3647"/>
    <w:rsid w:val="005F4F75"/>
    <w:rsid w:val="006340EC"/>
    <w:rsid w:val="0063446B"/>
    <w:rsid w:val="0063587E"/>
    <w:rsid w:val="00642921"/>
    <w:rsid w:val="00645A2A"/>
    <w:rsid w:val="006776BF"/>
    <w:rsid w:val="006875A3"/>
    <w:rsid w:val="006A00C9"/>
    <w:rsid w:val="006B4544"/>
    <w:rsid w:val="007009D3"/>
    <w:rsid w:val="00765DF5"/>
    <w:rsid w:val="00777C72"/>
    <w:rsid w:val="00784635"/>
    <w:rsid w:val="0079051E"/>
    <w:rsid w:val="007A2AAF"/>
    <w:rsid w:val="007C5606"/>
    <w:rsid w:val="007D4BE6"/>
    <w:rsid w:val="0083621C"/>
    <w:rsid w:val="00842167"/>
    <w:rsid w:val="0084492E"/>
    <w:rsid w:val="00882C0F"/>
    <w:rsid w:val="00883880"/>
    <w:rsid w:val="008C1117"/>
    <w:rsid w:val="009055D1"/>
    <w:rsid w:val="00922D9E"/>
    <w:rsid w:val="00937111"/>
    <w:rsid w:val="00953605"/>
    <w:rsid w:val="00961785"/>
    <w:rsid w:val="00980DC1"/>
    <w:rsid w:val="009A260F"/>
    <w:rsid w:val="009B3F0A"/>
    <w:rsid w:val="009C1AA6"/>
    <w:rsid w:val="009C25E7"/>
    <w:rsid w:val="009E7B20"/>
    <w:rsid w:val="00A076A5"/>
    <w:rsid w:val="00A13102"/>
    <w:rsid w:val="00A23A71"/>
    <w:rsid w:val="00A963BF"/>
    <w:rsid w:val="00AA7ACA"/>
    <w:rsid w:val="00AD632E"/>
    <w:rsid w:val="00B005BC"/>
    <w:rsid w:val="00B21DD2"/>
    <w:rsid w:val="00B53C19"/>
    <w:rsid w:val="00B8536D"/>
    <w:rsid w:val="00B85698"/>
    <w:rsid w:val="00BB333A"/>
    <w:rsid w:val="00BD6390"/>
    <w:rsid w:val="00C04D51"/>
    <w:rsid w:val="00C1075D"/>
    <w:rsid w:val="00C168A1"/>
    <w:rsid w:val="00C37FBC"/>
    <w:rsid w:val="00C520D8"/>
    <w:rsid w:val="00C54B65"/>
    <w:rsid w:val="00C576E6"/>
    <w:rsid w:val="00C628DA"/>
    <w:rsid w:val="00C70D5B"/>
    <w:rsid w:val="00C71EFF"/>
    <w:rsid w:val="00C75690"/>
    <w:rsid w:val="00C7649B"/>
    <w:rsid w:val="00C84F3F"/>
    <w:rsid w:val="00C93660"/>
    <w:rsid w:val="00CD183A"/>
    <w:rsid w:val="00CD5CD3"/>
    <w:rsid w:val="00CD6425"/>
    <w:rsid w:val="00CE1776"/>
    <w:rsid w:val="00CF74CF"/>
    <w:rsid w:val="00D25203"/>
    <w:rsid w:val="00D27F85"/>
    <w:rsid w:val="00D51BBE"/>
    <w:rsid w:val="00D70E47"/>
    <w:rsid w:val="00D74D85"/>
    <w:rsid w:val="00D835F1"/>
    <w:rsid w:val="00D9286B"/>
    <w:rsid w:val="00DA217E"/>
    <w:rsid w:val="00DE13B3"/>
    <w:rsid w:val="00DF1EC9"/>
    <w:rsid w:val="00DF784E"/>
    <w:rsid w:val="00E12BB6"/>
    <w:rsid w:val="00E30F2D"/>
    <w:rsid w:val="00E43341"/>
    <w:rsid w:val="00E503D6"/>
    <w:rsid w:val="00E619E0"/>
    <w:rsid w:val="00E672CA"/>
    <w:rsid w:val="00E97C87"/>
    <w:rsid w:val="00EA17CF"/>
    <w:rsid w:val="00EB7351"/>
    <w:rsid w:val="00EC2EFA"/>
    <w:rsid w:val="00ED1D2C"/>
    <w:rsid w:val="00ED2C58"/>
    <w:rsid w:val="00ED7DCF"/>
    <w:rsid w:val="00EF6741"/>
    <w:rsid w:val="00F20EDA"/>
    <w:rsid w:val="00F21F71"/>
    <w:rsid w:val="00F4459C"/>
    <w:rsid w:val="00F528C7"/>
    <w:rsid w:val="00F67628"/>
    <w:rsid w:val="00F72179"/>
    <w:rsid w:val="00F8257D"/>
    <w:rsid w:val="00F93292"/>
    <w:rsid w:val="00FA369F"/>
    <w:rsid w:val="00FC1D1D"/>
    <w:rsid w:val="00FD6112"/>
    <w:rsid w:val="00FE4926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F6762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87</cp:revision>
  <dcterms:created xsi:type="dcterms:W3CDTF">2025-08-17T17:02:00Z</dcterms:created>
  <dcterms:modified xsi:type="dcterms:W3CDTF">2026-01-27T14:07:00Z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